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Layout w:type="fixed"/>
        <w:tblCellMar>
          <w:left w:w="0" w:type="dxa"/>
          <w:right w:w="0" w:type="dxa"/>
        </w:tblCellMar>
        <w:tblLook w:val="01E0" w:firstRow="1" w:lastRow="1" w:firstColumn="1" w:lastColumn="1" w:noHBand="0" w:noVBand="0"/>
      </w:tblPr>
      <w:tblGrid>
        <w:gridCol w:w="4536"/>
        <w:gridCol w:w="2694"/>
        <w:gridCol w:w="2694"/>
      </w:tblGrid>
      <w:tr w:rsidR="00F46CF3" w:rsidRPr="0007752A" w:rsidTr="00162DBF">
        <w:trPr>
          <w:trHeight w:hRule="exact" w:val="369"/>
        </w:trPr>
        <w:tc>
          <w:tcPr>
            <w:tcW w:w="4536" w:type="dxa"/>
          </w:tcPr>
          <w:p w:rsidR="00F46CF3" w:rsidRPr="0007752A" w:rsidRDefault="0007752A" w:rsidP="00BD7D6C">
            <w:bookmarkStart w:id="0" w:name="Diarienummer" w:colFirst="2" w:colLast="2"/>
            <w:bookmarkStart w:id="1" w:name="Datum" w:colFirst="0" w:colLast="0"/>
            <w:r>
              <w:t>2014-06-</w:t>
            </w:r>
            <w:r w:rsidR="00BD7D6C">
              <w:t>26</w:t>
            </w:r>
          </w:p>
        </w:tc>
        <w:tc>
          <w:tcPr>
            <w:tcW w:w="2694" w:type="dxa"/>
          </w:tcPr>
          <w:p w:rsidR="00F46CF3" w:rsidRPr="0007752A" w:rsidRDefault="00F46CF3" w:rsidP="00B96F7E">
            <w:pPr>
              <w:jc w:val="right"/>
            </w:pPr>
            <w:r w:rsidRPr="0007752A">
              <w:t xml:space="preserve">  </w:t>
            </w:r>
          </w:p>
        </w:tc>
        <w:tc>
          <w:tcPr>
            <w:tcW w:w="2694" w:type="dxa"/>
            <w:vMerge w:val="restart"/>
          </w:tcPr>
          <w:p w:rsidR="00F46CF3" w:rsidRPr="0007752A" w:rsidRDefault="0007752A" w:rsidP="00C2758B">
            <w:pPr>
              <w:pStyle w:val="Dnr"/>
            </w:pPr>
            <w:r>
              <w:t xml:space="preserve">Dnr </w:t>
            </w:r>
            <w:r w:rsidR="00C2758B">
              <w:t>2</w:t>
            </w:r>
            <w:r>
              <w:t>014:1085</w:t>
            </w:r>
          </w:p>
        </w:tc>
      </w:tr>
      <w:bookmarkEnd w:id="0"/>
      <w:bookmarkEnd w:id="1"/>
      <w:tr w:rsidR="00B81800" w:rsidRPr="0007752A" w:rsidTr="00872180">
        <w:trPr>
          <w:trHeight w:hRule="exact" w:val="1134"/>
        </w:trPr>
        <w:tc>
          <w:tcPr>
            <w:tcW w:w="7230" w:type="dxa"/>
            <w:gridSpan w:val="2"/>
          </w:tcPr>
          <w:p w:rsidR="00B81800" w:rsidRPr="0007752A" w:rsidRDefault="00B81800" w:rsidP="00872180">
            <w:pPr>
              <w:pStyle w:val="Rubrik1"/>
              <w:spacing w:before="720" w:after="0"/>
            </w:pPr>
            <w:r w:rsidRPr="0007752A">
              <w:rPr>
                <w:lang w:eastAsia="en-US"/>
              </w:rPr>
              <w:t>Rapport från utredningstjänsten</w:t>
            </w:r>
          </w:p>
        </w:tc>
        <w:tc>
          <w:tcPr>
            <w:tcW w:w="2694" w:type="dxa"/>
            <w:vMerge/>
          </w:tcPr>
          <w:p w:rsidR="00B81800" w:rsidRPr="0007752A" w:rsidRDefault="00B81800" w:rsidP="00964A93"/>
        </w:tc>
      </w:tr>
      <w:tr w:rsidR="00F46CF3" w:rsidRPr="0007752A" w:rsidTr="00D9746D">
        <w:trPr>
          <w:trHeight w:val="567"/>
        </w:trPr>
        <w:tc>
          <w:tcPr>
            <w:tcW w:w="7230" w:type="dxa"/>
            <w:gridSpan w:val="2"/>
            <w:vAlign w:val="bottom"/>
          </w:tcPr>
          <w:p w:rsidR="00F46CF3" w:rsidRPr="0007752A" w:rsidRDefault="00BD7D6C" w:rsidP="004A0AC0">
            <w:pPr>
              <w:pStyle w:val="FormatmallPMrubrik14pt"/>
            </w:pPr>
            <w:bookmarkStart w:id="2" w:name="Rubrik" w:colFirst="0" w:colLast="0"/>
            <w:r>
              <w:t>T</w:t>
            </w:r>
            <w:r w:rsidRPr="0007752A">
              <w:t>ILLSVIDAREANSTÄLLDA RESPEKTIVE TIDSBEGRÄNSAT ANSTÄLLDA</w:t>
            </w:r>
          </w:p>
        </w:tc>
        <w:tc>
          <w:tcPr>
            <w:tcW w:w="2694" w:type="dxa"/>
            <w:vMerge/>
          </w:tcPr>
          <w:p w:rsidR="00F46CF3" w:rsidRPr="0007752A" w:rsidRDefault="00F46CF3" w:rsidP="00162DBF"/>
        </w:tc>
      </w:tr>
    </w:tbl>
    <w:p w:rsidR="0007752A" w:rsidRPr="00F33E59" w:rsidRDefault="00F33E59" w:rsidP="0007752A">
      <w:pPr>
        <w:rPr>
          <w:i/>
        </w:rPr>
      </w:pPr>
      <w:bookmarkStart w:id="3" w:name="Start"/>
      <w:bookmarkEnd w:id="3"/>
      <w:bookmarkEnd w:id="2"/>
      <w:r w:rsidRPr="00F33E59">
        <w:rPr>
          <w:i/>
        </w:rPr>
        <w:t>J</w:t>
      </w:r>
      <w:r w:rsidR="0007752A" w:rsidRPr="00F33E59">
        <w:rPr>
          <w:i/>
        </w:rPr>
        <w:t>ämförelse</w:t>
      </w:r>
      <w:r w:rsidRPr="00F33E59">
        <w:rPr>
          <w:i/>
        </w:rPr>
        <w:t>r</w:t>
      </w:r>
      <w:r w:rsidR="0007752A" w:rsidRPr="00F33E59">
        <w:rPr>
          <w:i/>
        </w:rPr>
        <w:t xml:space="preserve"> av antal och andel </w:t>
      </w:r>
      <w:r w:rsidR="001B672F">
        <w:rPr>
          <w:i/>
        </w:rPr>
        <w:t xml:space="preserve">av arbetskraften som är </w:t>
      </w:r>
      <w:r w:rsidR="0007752A" w:rsidRPr="00F33E59">
        <w:rPr>
          <w:i/>
        </w:rPr>
        <w:t>tillsvidareanställda respektive tidsbegränsat anställda.</w:t>
      </w:r>
    </w:p>
    <w:p w:rsidR="0007752A" w:rsidRPr="00F33E59" w:rsidRDefault="00F33E59" w:rsidP="0007752A">
      <w:pPr>
        <w:rPr>
          <w:i/>
        </w:rPr>
      </w:pPr>
      <w:r w:rsidRPr="00F33E59">
        <w:rPr>
          <w:i/>
        </w:rPr>
        <w:t>J</w:t>
      </w:r>
      <w:r w:rsidR="0007752A" w:rsidRPr="00F33E59">
        <w:rPr>
          <w:i/>
        </w:rPr>
        <w:t>ämförelse av antal och andel av arbetskraften som jobbar heltid respektive deltid.</w:t>
      </w:r>
    </w:p>
    <w:p w:rsidR="0007752A" w:rsidRPr="00F33E59" w:rsidRDefault="001B672F" w:rsidP="0007752A">
      <w:pPr>
        <w:rPr>
          <w:i/>
        </w:rPr>
      </w:pPr>
      <w:r>
        <w:rPr>
          <w:i/>
        </w:rPr>
        <w:t xml:space="preserve">Uppgifterna avser perioden </w:t>
      </w:r>
      <w:r w:rsidRPr="00F33E59">
        <w:rPr>
          <w:i/>
        </w:rPr>
        <w:t xml:space="preserve">2006 </w:t>
      </w:r>
      <w:r>
        <w:rPr>
          <w:i/>
        </w:rPr>
        <w:t xml:space="preserve">till </w:t>
      </w:r>
      <w:r w:rsidRPr="00F33E59">
        <w:rPr>
          <w:i/>
        </w:rPr>
        <w:t>idag</w:t>
      </w:r>
      <w:r>
        <w:rPr>
          <w:i/>
        </w:rPr>
        <w:t xml:space="preserve"> och är </w:t>
      </w:r>
      <w:r w:rsidR="0007752A" w:rsidRPr="00F33E59">
        <w:rPr>
          <w:i/>
        </w:rPr>
        <w:t>uppdelade på män och kvinnor, samt efter tre typer av arbetsgivare; offentlig sektor, statliga bolag och privata företag.</w:t>
      </w:r>
    </w:p>
    <w:p w:rsidR="0007752A" w:rsidRDefault="0007752A" w:rsidP="001D1E7D"/>
    <w:p w:rsidR="0001089E" w:rsidRDefault="0001089E" w:rsidP="0001089E">
      <w:r w:rsidRPr="00515A15">
        <w:t>Uppgifter</w:t>
      </w:r>
      <w:r>
        <w:t>na</w:t>
      </w:r>
      <w:r w:rsidRPr="00C50D59">
        <w:t xml:space="preserve"> </w:t>
      </w:r>
      <w:r w:rsidRPr="00515A15">
        <w:t>hämtas från SCB:s arbetskraftsundersökning</w:t>
      </w:r>
      <w:r>
        <w:t>ar</w:t>
      </w:r>
      <w:r w:rsidRPr="00515A15">
        <w:t xml:space="preserve"> (AKU)</w:t>
      </w:r>
      <w:r>
        <w:t xml:space="preserve"> och avser åldersgruppen 15-74 år.</w:t>
      </w:r>
    </w:p>
    <w:p w:rsidR="009B39D7" w:rsidRPr="00BD7D6C" w:rsidRDefault="009B39D7" w:rsidP="0001089E">
      <w:r>
        <w:t>I AKU finns uppgifter om antal personer i arbetskraften</w:t>
      </w:r>
      <w:r w:rsidR="00587CDE">
        <w:t xml:space="preserve"> (</w:t>
      </w:r>
      <w:r w:rsidR="0001541B">
        <w:t>sysselsatta</w:t>
      </w:r>
      <w:r w:rsidR="0001541B">
        <w:rPr>
          <w:rStyle w:val="Fotnotsreferens"/>
        </w:rPr>
        <w:footnoteReference w:id="1"/>
      </w:r>
      <w:r w:rsidR="0001541B">
        <w:t xml:space="preserve"> och arbetslösa</w:t>
      </w:r>
      <w:r w:rsidR="0001541B">
        <w:rPr>
          <w:rStyle w:val="Fotnotsreferens"/>
        </w:rPr>
        <w:footnoteReference w:id="2"/>
      </w:r>
      <w:r w:rsidR="00587CDE">
        <w:t>)</w:t>
      </w:r>
      <w:r>
        <w:t xml:space="preserve">, antal </w:t>
      </w:r>
      <w:r w:rsidR="00587CDE">
        <w:t>anställda</w:t>
      </w:r>
      <w:r>
        <w:t xml:space="preserve"> fördelad</w:t>
      </w:r>
      <w:r w:rsidR="00BD7D6C">
        <w:t>e</w:t>
      </w:r>
      <w:r>
        <w:t xml:space="preserve"> på anställningstyp och </w:t>
      </w:r>
      <w:r w:rsidR="00CF5205">
        <w:t>sektor (statlig, kommunal respektive privat)</w:t>
      </w:r>
      <w:r>
        <w:t>.</w:t>
      </w:r>
      <w:r w:rsidR="00CF5205">
        <w:t xml:space="preserve"> Det går inte att särskilja de statliga bolagen från de privata bo</w:t>
      </w:r>
      <w:r w:rsidR="00CF5205" w:rsidRPr="00BD7D6C">
        <w:t xml:space="preserve">lagen. I denna redovisning redovisas därför sektor som statlig, kommunal </w:t>
      </w:r>
      <w:r w:rsidR="00BD7D6C" w:rsidRPr="00BD7D6C">
        <w:t xml:space="preserve">inkl. landsting </w:t>
      </w:r>
      <w:r w:rsidR="00CF5205" w:rsidRPr="00BD7D6C">
        <w:t>respektive privat.</w:t>
      </w:r>
    </w:p>
    <w:p w:rsidR="003C38C1" w:rsidRDefault="003C38C1" w:rsidP="0001089E">
      <w:r>
        <w:t xml:space="preserve">Eftersom AKU är en urvalsundersökning innebär det att skattningarna av antal sysselsatta, arbetslösa, anställda etc. har en viss osäkerhet. Osäkerheten ökar ju mer </w:t>
      </w:r>
      <w:r w:rsidR="00CD022E">
        <w:t xml:space="preserve">man delar upp </w:t>
      </w:r>
      <w:r w:rsidR="00EA7588">
        <w:t>statistiken på mindre grupper</w:t>
      </w:r>
      <w:r w:rsidR="00CD022E">
        <w:t>. Det g</w:t>
      </w:r>
      <w:r>
        <w:t>ör att utredningstjänsten valt att redovisa uppgifter om antal och andel av de anställda som har tillsvidare respektive tidsbegränsad anställning fördela</w:t>
      </w:r>
      <w:r w:rsidR="00CD022E">
        <w:t>d</w:t>
      </w:r>
      <w:r>
        <w:t xml:space="preserve"> på kön och på sektor var för sig, dvs. ingen redovisning görs uppdelad på kön och sektor </w:t>
      </w:r>
      <w:r w:rsidR="00CD022E">
        <w:t>tillsammans</w:t>
      </w:r>
      <w:r w:rsidR="000030C3">
        <w:t>.</w:t>
      </w:r>
    </w:p>
    <w:p w:rsidR="00CF5205" w:rsidRDefault="00CF5205" w:rsidP="0001089E">
      <w:r w:rsidRPr="00BF5DAF">
        <w:lastRenderedPageBreak/>
        <w:t>Uppgift</w:t>
      </w:r>
      <w:r w:rsidR="00BF5DAF" w:rsidRPr="00BF5DAF">
        <w:t xml:space="preserve">er i AKU </w:t>
      </w:r>
      <w:r w:rsidR="00C459FA" w:rsidRPr="00BF5DAF">
        <w:t xml:space="preserve">finns </w:t>
      </w:r>
      <w:r w:rsidR="00BF5DAF" w:rsidRPr="00BF5DAF">
        <w:t xml:space="preserve">om antal timmar som </w:t>
      </w:r>
      <w:r w:rsidR="00BF5DAF">
        <w:t xml:space="preserve">de </w:t>
      </w:r>
      <w:r w:rsidR="00BF5DAF" w:rsidRPr="0098031F">
        <w:rPr>
          <w:i/>
        </w:rPr>
        <w:t>sysselsatta</w:t>
      </w:r>
      <w:r w:rsidR="00BF5DAF" w:rsidRPr="00BF5DAF">
        <w:t xml:space="preserve"> arbetar varje vecka (överenskommen</w:t>
      </w:r>
      <w:r w:rsidR="00AE0EBF">
        <w:t xml:space="preserve"> arbetstid</w:t>
      </w:r>
      <w:r w:rsidR="00BF5DAF" w:rsidRPr="00BF5DAF">
        <w:t>)</w:t>
      </w:r>
      <w:r w:rsidR="00BF5DAF">
        <w:t>.</w:t>
      </w:r>
      <w:r w:rsidRPr="00BF5DAF">
        <w:t xml:space="preserve"> </w:t>
      </w:r>
      <w:r w:rsidR="00BF5DAF">
        <w:t xml:space="preserve">I dessa uppgifter ingår både anställda och egenföretagare inkl. </w:t>
      </w:r>
      <w:r w:rsidR="001319D1">
        <w:t>familjemedlemmar</w:t>
      </w:r>
      <w:r w:rsidR="00BF5DAF">
        <w:t>.</w:t>
      </w:r>
    </w:p>
    <w:p w:rsidR="0001089E" w:rsidRDefault="009B39D7" w:rsidP="0001089E">
      <w:r>
        <w:t>Jämförbara å</w:t>
      </w:r>
      <w:r w:rsidR="0001089E">
        <w:t xml:space="preserve">rsuppgifter för de efterfrågade uppgifterna finns tillgängliga </w:t>
      </w:r>
      <w:r>
        <w:t xml:space="preserve">från och med 2005 </w:t>
      </w:r>
      <w:r w:rsidR="0001089E">
        <w:t>till och med 2013.</w:t>
      </w:r>
      <w:r>
        <w:t xml:space="preserve"> D</w:t>
      </w:r>
      <w:r w:rsidR="004D469E">
        <w:t>e</w:t>
      </w:r>
      <w:r>
        <w:t>nna redovisning avser därför perioden 2005-2013.</w:t>
      </w:r>
      <w:r w:rsidR="004A0AC0">
        <w:t xml:space="preserve"> </w:t>
      </w:r>
      <w:r w:rsidR="00E6418C">
        <w:t>I bilaga 1</w:t>
      </w:r>
      <w:r w:rsidR="00AE0EBF">
        <w:t xml:space="preserve"> </w:t>
      </w:r>
      <w:r w:rsidR="00E6418C">
        <w:t xml:space="preserve">finns underlagen till </w:t>
      </w:r>
      <w:r w:rsidR="00E92F58">
        <w:t>rapportens diagram</w:t>
      </w:r>
      <w:r w:rsidR="00E6418C">
        <w:t>.</w:t>
      </w:r>
    </w:p>
    <w:p w:rsidR="00B95801" w:rsidRDefault="00B95801" w:rsidP="0001089E"/>
    <w:p w:rsidR="000A4FDD" w:rsidRDefault="00B551FC" w:rsidP="000A4FDD">
      <w:pPr>
        <w:pStyle w:val="Rubrik2"/>
      </w:pPr>
      <w:r>
        <w:t>Arbetskraften</w:t>
      </w:r>
    </w:p>
    <w:p w:rsidR="00390309" w:rsidRDefault="00390309" w:rsidP="000A4FDD">
      <w:r>
        <w:t xml:space="preserve">Arbetskraften uppgick 2013 till 5,1 miljoner personer. </w:t>
      </w:r>
      <w:r w:rsidR="00B551FC">
        <w:t>I arbetskraften ingår personer som är</w:t>
      </w:r>
      <w:r>
        <w:t xml:space="preserve"> sysselsatta</w:t>
      </w:r>
      <w:r w:rsidR="0001541B">
        <w:t xml:space="preserve"> </w:t>
      </w:r>
      <w:r>
        <w:t>eller arbetslösa.</w:t>
      </w:r>
      <w:r w:rsidR="00CD022E">
        <w:t xml:space="preserve"> År 2006 ingick 4,8 miljoner personer i arbetskraften. Drygt hälften av personerna i arbetskraften är män (53 %), en andel som är stabil över tid. Antalet män i arbetskraften var 2013 2,7 miljoner och antal</w:t>
      </w:r>
      <w:r w:rsidR="00F32F0E">
        <w:t>et</w:t>
      </w:r>
      <w:r w:rsidR="00CD022E">
        <w:t xml:space="preserve"> kvinnor </w:t>
      </w:r>
      <w:r w:rsidR="00F32F0E">
        <w:t xml:space="preserve">var </w:t>
      </w:r>
      <w:r w:rsidR="00CD022E">
        <w:t>2,4 miljoner. För år 2006 var antalet kvinnor 2,3 miljoner</w:t>
      </w:r>
      <w:r w:rsidR="007A213E">
        <w:t xml:space="preserve"> och antalet män 2,5 miljoner</w:t>
      </w:r>
      <w:r w:rsidR="00CD022E">
        <w:t>.</w:t>
      </w:r>
    </w:p>
    <w:p w:rsidR="00B551FC" w:rsidRDefault="00304DFB" w:rsidP="000A4FDD">
      <w:r>
        <w:t xml:space="preserve">Såväl antalet kvinnor som män i arbetskraften </w:t>
      </w:r>
      <w:r w:rsidR="00BD7D6C">
        <w:t>har ökat</w:t>
      </w:r>
      <w:r>
        <w:t xml:space="preserve"> över tid. Antal personer i arbetskraften </w:t>
      </w:r>
      <w:r w:rsidR="00BD7D6C">
        <w:t>har ökat</w:t>
      </w:r>
      <w:r>
        <w:t xml:space="preserve"> med </w:t>
      </w:r>
      <w:r w:rsidR="006055FC">
        <w:t xml:space="preserve">runt </w:t>
      </w:r>
      <w:r>
        <w:t>en procent per år.</w:t>
      </w:r>
    </w:p>
    <w:p w:rsidR="00B551FC" w:rsidRDefault="00B551FC" w:rsidP="000A4FDD"/>
    <w:p w:rsidR="009A1CFA" w:rsidRDefault="00BA5E71" w:rsidP="00BA5E71">
      <w:pPr>
        <w:pStyle w:val="Beskrivning"/>
      </w:pPr>
      <w:r>
        <w:t xml:space="preserve">Diagram </w:t>
      </w:r>
      <w:fldSimple w:instr=" SEQ Diagram \* ARABIC ">
        <w:r w:rsidR="007607E0">
          <w:rPr>
            <w:noProof/>
          </w:rPr>
          <w:t>1</w:t>
        </w:r>
      </w:fldSimple>
      <w:r>
        <w:t xml:space="preserve"> Antal personer i arbetskraften</w:t>
      </w:r>
      <w:r w:rsidR="007815DC">
        <w:t>*</w:t>
      </w:r>
      <w:r>
        <w:t>, 2005-2013, 1 000-tal</w:t>
      </w:r>
    </w:p>
    <w:p w:rsidR="00BA5E71" w:rsidRDefault="00B551FC" w:rsidP="00BA5E71">
      <w:r>
        <w:rPr>
          <w:noProof/>
        </w:rPr>
        <w:drawing>
          <wp:inline distT="0" distB="0" distL="0" distR="0" wp14:anchorId="55AD8815">
            <wp:extent cx="4320000" cy="2599200"/>
            <wp:effectExtent l="0" t="0" r="444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0" cy="2599200"/>
                    </a:xfrm>
                    <a:prstGeom prst="rect">
                      <a:avLst/>
                    </a:prstGeom>
                    <a:noFill/>
                  </pic:spPr>
                </pic:pic>
              </a:graphicData>
            </a:graphic>
          </wp:inline>
        </w:drawing>
      </w:r>
    </w:p>
    <w:p w:rsidR="00BA5E71" w:rsidRPr="007815DC" w:rsidRDefault="007815DC" w:rsidP="00BA5E71">
      <w:pPr>
        <w:pStyle w:val="Tabell-Klla"/>
        <w:spacing w:before="0" w:line="240" w:lineRule="auto"/>
        <w:rPr>
          <w:sz w:val="20"/>
          <w:szCs w:val="20"/>
        </w:rPr>
      </w:pPr>
      <w:r>
        <w:rPr>
          <w:i w:val="0"/>
          <w:sz w:val="20"/>
          <w:szCs w:val="20"/>
        </w:rPr>
        <w:t>* P</w:t>
      </w:r>
      <w:r w:rsidRPr="007815DC">
        <w:rPr>
          <w:i w:val="0"/>
          <w:sz w:val="20"/>
          <w:szCs w:val="20"/>
        </w:rPr>
        <w:t>ersoner som är sysselsatta eller arbetslösa</w:t>
      </w:r>
      <w:r w:rsidRPr="007815DC">
        <w:rPr>
          <w:i w:val="0"/>
          <w:sz w:val="20"/>
          <w:szCs w:val="20"/>
        </w:rPr>
        <w:br/>
      </w:r>
      <w:r w:rsidR="00BA5E71" w:rsidRPr="007815DC">
        <w:rPr>
          <w:sz w:val="20"/>
          <w:szCs w:val="20"/>
        </w:rPr>
        <w:t>Källa. SCB/AKU</w:t>
      </w:r>
    </w:p>
    <w:p w:rsidR="009A1CFA" w:rsidRDefault="009A1CFA" w:rsidP="000A4FDD"/>
    <w:p w:rsidR="00933DE2" w:rsidRDefault="009E0DE7" w:rsidP="00933DE2">
      <w:pPr>
        <w:pStyle w:val="Rubrik2"/>
      </w:pPr>
      <w:r>
        <w:lastRenderedPageBreak/>
        <w:t>Antal a</w:t>
      </w:r>
      <w:r w:rsidR="00933DE2">
        <w:t>nställ</w:t>
      </w:r>
      <w:r>
        <w:t>da</w:t>
      </w:r>
    </w:p>
    <w:p w:rsidR="006055FC" w:rsidRDefault="006C4D27" w:rsidP="000A4FDD">
      <w:r>
        <w:t>Antal anställda 2013 var 4,2 miljoner, varav hälften var kvinnor och hälften män</w:t>
      </w:r>
      <w:r w:rsidR="006055FC">
        <w:t xml:space="preserve"> (2,1 milj. vardera)</w:t>
      </w:r>
      <w:r>
        <w:t xml:space="preserve">. </w:t>
      </w:r>
      <w:r w:rsidR="006055FC">
        <w:t xml:space="preserve">År 2006 var antal anställda totalt 3,9 miljoner och antal anställda kvinnor och män var </w:t>
      </w:r>
      <w:r w:rsidR="00BD7D6C">
        <w:t xml:space="preserve">knappt </w:t>
      </w:r>
      <w:r w:rsidR="006055FC">
        <w:t>2,0 miljoner vardera.</w:t>
      </w:r>
    </w:p>
    <w:p w:rsidR="00933DE2" w:rsidRDefault="006C4D27" w:rsidP="000A4FDD">
      <w:r>
        <w:t>Antal anställda har ökat över tid med i genomsnitt en p</w:t>
      </w:r>
      <w:r w:rsidR="00DC3BEE">
        <w:t>rocent per år.</w:t>
      </w:r>
    </w:p>
    <w:p w:rsidR="00C807D3" w:rsidRDefault="00C807D3" w:rsidP="00C807D3"/>
    <w:p w:rsidR="00C807D3" w:rsidRDefault="00C807D3" w:rsidP="00C807D3">
      <w:pPr>
        <w:pStyle w:val="Beskrivning"/>
      </w:pPr>
      <w:r>
        <w:t xml:space="preserve">Diagram </w:t>
      </w:r>
      <w:r w:rsidR="00651B7F">
        <w:fldChar w:fldCharType="begin"/>
      </w:r>
      <w:r w:rsidR="00651B7F">
        <w:instrText xml:space="preserve"> SEQ Diagram \* ARABIC </w:instrText>
      </w:r>
      <w:r w:rsidR="00651B7F">
        <w:fldChar w:fldCharType="separate"/>
      </w:r>
      <w:r w:rsidR="007607E0">
        <w:rPr>
          <w:noProof/>
        </w:rPr>
        <w:t>2</w:t>
      </w:r>
      <w:r w:rsidR="00651B7F">
        <w:rPr>
          <w:noProof/>
        </w:rPr>
        <w:fldChar w:fldCharType="end"/>
      </w:r>
      <w:r>
        <w:t xml:space="preserve"> Antal anställda fördelad på kön, 2005-2013, 1 000-tal</w:t>
      </w:r>
    </w:p>
    <w:p w:rsidR="00C807D3" w:rsidRDefault="00E529C2" w:rsidP="00C807D3">
      <w:r>
        <w:rPr>
          <w:noProof/>
        </w:rPr>
        <w:drawing>
          <wp:inline distT="0" distB="0" distL="0" distR="0" wp14:anchorId="2E234DC5">
            <wp:extent cx="4320000" cy="2595600"/>
            <wp:effectExtent l="0" t="0" r="4445"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000" cy="2595600"/>
                    </a:xfrm>
                    <a:prstGeom prst="rect">
                      <a:avLst/>
                    </a:prstGeom>
                    <a:noFill/>
                  </pic:spPr>
                </pic:pic>
              </a:graphicData>
            </a:graphic>
          </wp:inline>
        </w:drawing>
      </w:r>
    </w:p>
    <w:p w:rsidR="00C807D3" w:rsidRPr="00BA5E71" w:rsidRDefault="00C807D3" w:rsidP="00C807D3">
      <w:pPr>
        <w:pStyle w:val="Tabell-Klla"/>
        <w:spacing w:before="0" w:line="240" w:lineRule="auto"/>
      </w:pPr>
      <w:r w:rsidRPr="00BA5E71">
        <w:t>Källa. SCB/AKU</w:t>
      </w:r>
    </w:p>
    <w:p w:rsidR="00C807D3" w:rsidRDefault="00C807D3" w:rsidP="00C807D3"/>
    <w:p w:rsidR="00933DE2" w:rsidRDefault="00B64904" w:rsidP="000A4FDD">
      <w:r>
        <w:t>Av de anställda arbetar 68 procent inom privat sektor, en andel som ökat över tid.</w:t>
      </w:r>
      <w:r w:rsidR="0040023A">
        <w:t xml:space="preserve"> Antal anställda inom kommunal sektor minskar något (-0,5 %</w:t>
      </w:r>
      <w:r w:rsidR="007B44CC">
        <w:t xml:space="preserve"> per år</w:t>
      </w:r>
      <w:r w:rsidR="0040023A">
        <w:t>) medan antal anställda inom statlig och privat sektor ökar med drygt en procent per år vardera.</w:t>
      </w:r>
    </w:p>
    <w:p w:rsidR="00612DB4" w:rsidRDefault="00612DB4" w:rsidP="000A4FDD">
      <w:r>
        <w:t xml:space="preserve">Antal anställda inom privat sektor 2013 var 2,8 miljoner, inom kommunal sektor 1,1 miljoner och inom statlig sektor </w:t>
      </w:r>
      <w:r w:rsidR="00843F6F">
        <w:t>2</w:t>
      </w:r>
      <w:r w:rsidR="00B53F0D">
        <w:t>70</w:t>
      </w:r>
      <w:r>
        <w:t> 000.</w:t>
      </w:r>
      <w:r w:rsidR="00DE35B1">
        <w:t xml:space="preserve"> År 2006 var 2,6 miljoner anställda inom privat sektor, 1,1 miljoner inom kommunal sektor och </w:t>
      </w:r>
      <w:r w:rsidR="00843F6F">
        <w:t>25</w:t>
      </w:r>
      <w:r w:rsidR="00B53F0D">
        <w:t>0</w:t>
      </w:r>
      <w:r w:rsidR="00DE35B1">
        <w:t> 000 inom statlig sektor.</w:t>
      </w:r>
    </w:p>
    <w:p w:rsidR="004A0AC0" w:rsidRDefault="004A0AC0">
      <w:pPr>
        <w:tabs>
          <w:tab w:val="clear" w:pos="284"/>
        </w:tabs>
        <w:spacing w:after="0" w:line="240" w:lineRule="auto"/>
      </w:pPr>
      <w:r>
        <w:br w:type="page"/>
      </w:r>
    </w:p>
    <w:p w:rsidR="00B64904" w:rsidRDefault="00B64904" w:rsidP="000A4FDD"/>
    <w:p w:rsidR="00B64904" w:rsidRDefault="00B64904" w:rsidP="00B64904">
      <w:pPr>
        <w:pStyle w:val="Beskrivning"/>
      </w:pPr>
      <w:r>
        <w:t xml:space="preserve">Diagram </w:t>
      </w:r>
      <w:fldSimple w:instr=" SEQ Diagram \* ARABIC ">
        <w:r w:rsidR="007607E0">
          <w:rPr>
            <w:noProof/>
          </w:rPr>
          <w:t>3</w:t>
        </w:r>
      </w:fldSimple>
      <w:r>
        <w:t xml:space="preserve"> Antal anställda fördelad på sektor, 2005-2013, 1 000-tal</w:t>
      </w:r>
    </w:p>
    <w:p w:rsidR="00DC3BEE" w:rsidRDefault="00EC0526" w:rsidP="000A4FDD">
      <w:r>
        <w:rPr>
          <w:noProof/>
        </w:rPr>
        <w:drawing>
          <wp:inline distT="0" distB="0" distL="0" distR="0" wp14:anchorId="0858144A" wp14:editId="360F00DF">
            <wp:extent cx="4320000" cy="2595600"/>
            <wp:effectExtent l="0" t="0" r="444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0000" cy="2595600"/>
                    </a:xfrm>
                    <a:prstGeom prst="rect">
                      <a:avLst/>
                    </a:prstGeom>
                    <a:noFill/>
                  </pic:spPr>
                </pic:pic>
              </a:graphicData>
            </a:graphic>
          </wp:inline>
        </w:drawing>
      </w:r>
    </w:p>
    <w:p w:rsidR="00DC3BEE" w:rsidRPr="00BA5E71" w:rsidRDefault="00DC3BEE" w:rsidP="00DC3BEE">
      <w:pPr>
        <w:pStyle w:val="Tabell-Klla"/>
        <w:spacing w:before="0" w:line="240" w:lineRule="auto"/>
      </w:pPr>
      <w:r w:rsidRPr="00BA5E71">
        <w:t>Källa. SCB/AKU</w:t>
      </w:r>
    </w:p>
    <w:p w:rsidR="00DC3BEE" w:rsidRDefault="00DC3BEE" w:rsidP="000A4FDD"/>
    <w:p w:rsidR="009E0DE7" w:rsidRDefault="00D81067" w:rsidP="009E0DE7">
      <w:pPr>
        <w:pStyle w:val="Rubrik2"/>
      </w:pPr>
      <w:r>
        <w:t>Anställningsform</w:t>
      </w:r>
    </w:p>
    <w:p w:rsidR="00FB5278" w:rsidRDefault="00FB5278" w:rsidP="000A4FDD">
      <w:r>
        <w:t xml:space="preserve">I frågeställningen frågas efter andel av </w:t>
      </w:r>
      <w:r w:rsidRPr="00FB5278">
        <w:rPr>
          <w:i/>
        </w:rPr>
        <w:t>arbetskraften</w:t>
      </w:r>
      <w:r>
        <w:t xml:space="preserve"> (sysselsatta och arbetslösa) som har tillsvidare respektive tidsbegränsad anställning. Det är vanligast att man sätter antal anställda med en viss anställningsform i relation till </w:t>
      </w:r>
      <w:r w:rsidR="001672B7">
        <w:t xml:space="preserve">totalt </w:t>
      </w:r>
      <w:r>
        <w:t xml:space="preserve">antal anställda. Utredningstjänsten har därför i denna rapport satt antal personer med tillsvidare respektive tidsbegränsad anställning i relation till </w:t>
      </w:r>
      <w:r w:rsidR="001672B7">
        <w:t xml:space="preserve">totalt </w:t>
      </w:r>
      <w:r>
        <w:t>antal anställda. I bilaga 1 finns uppgift om andelen med tillsvidare respektive tidsbegränsad anställning av den totala arbetskraften.</w:t>
      </w:r>
      <w:r w:rsidRPr="00FB5278">
        <w:t xml:space="preserve"> </w:t>
      </w:r>
      <w:r>
        <w:t>Notera att uppgift</w:t>
      </w:r>
      <w:r w:rsidR="00B9646E">
        <w:t>er</w:t>
      </w:r>
      <w:r>
        <w:t xml:space="preserve"> om arbetskraften </w:t>
      </w:r>
      <w:r w:rsidR="001672B7">
        <w:t xml:space="preserve">inte finns </w:t>
      </w:r>
      <w:r>
        <w:t>fördelad på sektor eftersom arbetslösa inte finns fördelad på sektor.</w:t>
      </w:r>
    </w:p>
    <w:p w:rsidR="001D51BE" w:rsidRDefault="00EE68BD" w:rsidP="000A4FDD">
      <w:r>
        <w:t xml:space="preserve">Av de anställda 2013 var 83 procent tillsvidareanställda och 17 procent tidsbegränsat anställda. Bland kvinnorna var motsvarande andelar 81 respektive 19 procent och bland männen 85 respektive 15 procent. Det är alltså en </w:t>
      </w:r>
      <w:r w:rsidR="00F16EFC">
        <w:t xml:space="preserve">något </w:t>
      </w:r>
      <w:r>
        <w:t>större andel kvinnor än män s</w:t>
      </w:r>
      <w:r w:rsidR="00B9185E">
        <w:t>om har en tidsbegränsad anställ</w:t>
      </w:r>
      <w:r>
        <w:t>ning.</w:t>
      </w:r>
    </w:p>
    <w:p w:rsidR="00BD20A8" w:rsidRDefault="00BD20A8" w:rsidP="00BD20A8">
      <w:r>
        <w:t xml:space="preserve">Antalsmässigt motsvarar det </w:t>
      </w:r>
      <w:r w:rsidR="009601D0">
        <w:t xml:space="preserve">2013 </w:t>
      </w:r>
      <w:r>
        <w:t>totalt 3,</w:t>
      </w:r>
      <w:r w:rsidR="00C55696">
        <w:t>5</w:t>
      </w:r>
      <w:r>
        <w:t xml:space="preserve"> miljoner tillsvidareanställda </w:t>
      </w:r>
      <w:r w:rsidR="00C61116">
        <w:t>(</w:t>
      </w:r>
      <w:r w:rsidR="00C55696">
        <w:t>1,7</w:t>
      </w:r>
      <w:r w:rsidR="00C61116">
        <w:t xml:space="preserve"> milj. kvinnor och </w:t>
      </w:r>
      <w:r w:rsidR="00C55696">
        <w:t>1,8</w:t>
      </w:r>
      <w:r w:rsidR="00C61116">
        <w:t xml:space="preserve"> milj. män) </w:t>
      </w:r>
      <w:r>
        <w:t>och 700 000 anställda med tidsbegränsad anställning</w:t>
      </w:r>
      <w:r w:rsidR="00C61116">
        <w:t xml:space="preserve"> (</w:t>
      </w:r>
      <w:r w:rsidR="00B53F0D">
        <w:t>400</w:t>
      </w:r>
      <w:r w:rsidR="00C61116">
        <w:t> 000 kvinnor och 30</w:t>
      </w:r>
      <w:r w:rsidR="00B53F0D">
        <w:t>0</w:t>
      </w:r>
      <w:r w:rsidR="00C61116">
        <w:t> 000 män)</w:t>
      </w:r>
      <w:r>
        <w:t>.</w:t>
      </w:r>
      <w:r w:rsidR="00C61116">
        <w:t xml:space="preserve"> </w:t>
      </w:r>
      <w:r w:rsidR="009601D0">
        <w:t>År 2006 var totalt 3,</w:t>
      </w:r>
      <w:r w:rsidR="00C55696">
        <w:t>2</w:t>
      </w:r>
      <w:r w:rsidR="009601D0">
        <w:t xml:space="preserve"> miljoner tillsvidareanställda (</w:t>
      </w:r>
      <w:r w:rsidR="00C55696">
        <w:t>1,6</w:t>
      </w:r>
      <w:r w:rsidR="009601D0">
        <w:t xml:space="preserve"> milj. kvinnor och </w:t>
      </w:r>
      <w:r w:rsidR="00C55696">
        <w:t>1,7</w:t>
      </w:r>
      <w:r w:rsidR="009601D0">
        <w:t xml:space="preserve"> milj. män) och </w:t>
      </w:r>
      <w:r w:rsidR="00B53F0D">
        <w:t>670</w:t>
      </w:r>
      <w:r w:rsidR="009601D0">
        <w:t> 000 anställda med tidsbegränsad anställning (3</w:t>
      </w:r>
      <w:r w:rsidR="00B53F0D">
        <w:t>70</w:t>
      </w:r>
      <w:r w:rsidR="009601D0">
        <w:t> 000 kvinnor och 300 000 män)</w:t>
      </w:r>
      <w:r w:rsidR="00C55696">
        <w:t>.</w:t>
      </w:r>
    </w:p>
    <w:p w:rsidR="009E0DE7" w:rsidRDefault="001D51BE" w:rsidP="000A4FDD">
      <w:r>
        <w:t xml:space="preserve">Det finns ingen större förändring i </w:t>
      </w:r>
      <w:r w:rsidR="00AE0E9A">
        <w:t>andelen med tidsbegränsad anställning</w:t>
      </w:r>
      <w:r>
        <w:t xml:space="preserve"> över tid.</w:t>
      </w:r>
      <w:r w:rsidR="00157A41">
        <w:t xml:space="preserve"> Ett undantag är åren 2008 och 2009 då andelen med tidsbegränsad anställ</w:t>
      </w:r>
      <w:r w:rsidR="00157A41">
        <w:lastRenderedPageBreak/>
        <w:t xml:space="preserve">ning </w:t>
      </w:r>
      <w:r w:rsidR="00BD7D6C">
        <w:t>sjönk</w:t>
      </w:r>
      <w:r w:rsidR="00157A41">
        <w:t>, det beror troligen på att många anställda med tidsbegränsad anställning inte fick förlängd anställning</w:t>
      </w:r>
      <w:r w:rsidR="00F93E9A">
        <w:t xml:space="preserve"> under dessa år</w:t>
      </w:r>
      <w:r w:rsidR="00BD7D6C">
        <w:t>, på grund av den då rådande lågkonjunkturen</w:t>
      </w:r>
      <w:r w:rsidR="00157A41">
        <w:t>.</w:t>
      </w:r>
    </w:p>
    <w:p w:rsidR="003A7BAD" w:rsidRDefault="003A7BAD" w:rsidP="000A4FDD"/>
    <w:p w:rsidR="003A7BAD" w:rsidRDefault="003A7BAD" w:rsidP="003A7BAD">
      <w:pPr>
        <w:pStyle w:val="Beskrivning"/>
      </w:pPr>
      <w:r>
        <w:t xml:space="preserve">Diagram </w:t>
      </w:r>
      <w:fldSimple w:instr=" SEQ Diagram \* ARABIC ">
        <w:r w:rsidR="007607E0">
          <w:rPr>
            <w:noProof/>
          </w:rPr>
          <w:t>4</w:t>
        </w:r>
      </w:fldSimple>
      <w:r>
        <w:t xml:space="preserve"> Andel av de anställda med tidsbegränsad anställning, fördelad på kön, 2005-2013, 1 000-tal</w:t>
      </w:r>
    </w:p>
    <w:p w:rsidR="003A7BAD" w:rsidRDefault="000344C3" w:rsidP="003A7BAD">
      <w:r>
        <w:rPr>
          <w:noProof/>
        </w:rPr>
        <w:drawing>
          <wp:inline distT="0" distB="0" distL="0" distR="0" wp14:anchorId="576E54E6">
            <wp:extent cx="4320000" cy="2599200"/>
            <wp:effectExtent l="0" t="0" r="444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0000" cy="2599200"/>
                    </a:xfrm>
                    <a:prstGeom prst="rect">
                      <a:avLst/>
                    </a:prstGeom>
                    <a:noFill/>
                  </pic:spPr>
                </pic:pic>
              </a:graphicData>
            </a:graphic>
          </wp:inline>
        </w:drawing>
      </w:r>
    </w:p>
    <w:p w:rsidR="003A7BAD" w:rsidRPr="00BA5E71" w:rsidRDefault="003A7BAD" w:rsidP="003A7BAD">
      <w:pPr>
        <w:pStyle w:val="Tabell-Klla"/>
        <w:spacing w:before="0" w:line="240" w:lineRule="auto"/>
      </w:pPr>
      <w:r w:rsidRPr="00BA5E71">
        <w:t>Källa. SCB/AKU</w:t>
      </w:r>
    </w:p>
    <w:p w:rsidR="003A7BAD" w:rsidRDefault="003A7BAD" w:rsidP="000A4FDD"/>
    <w:p w:rsidR="00F47FF9" w:rsidRDefault="00F47FF9" w:rsidP="008A08C6">
      <w:r>
        <w:t>Eftersom antal ans</w:t>
      </w:r>
      <w:r w:rsidR="008A08C6">
        <w:t>tällda inom staten är litet (270</w:t>
      </w:r>
      <w:r>
        <w:t xml:space="preserve"> 000) redovisas uppgifterna för statlig och kommunal sektor tillsammans och benämns som offentlig sektor. </w:t>
      </w:r>
      <w:r w:rsidR="00BD7D6C">
        <w:t xml:space="preserve">På så vis blir osäkerheten i uppgifterna mindre. </w:t>
      </w:r>
      <w:r w:rsidR="007D3376">
        <w:t xml:space="preserve">En jämförelse mellan sektorerna visar att </w:t>
      </w:r>
      <w:r w:rsidR="00F16EFC">
        <w:t xml:space="preserve">andelen med tidsbegränsad anställning är </w:t>
      </w:r>
      <w:r w:rsidR="00F93E9A">
        <w:t xml:space="preserve">något </w:t>
      </w:r>
      <w:r w:rsidR="00F16EFC">
        <w:t>hög</w:t>
      </w:r>
      <w:r w:rsidR="00F93E9A">
        <w:t>re</w:t>
      </w:r>
      <w:r w:rsidR="00F16EFC">
        <w:t xml:space="preserve"> inom </w:t>
      </w:r>
      <w:r>
        <w:t>offentlig</w:t>
      </w:r>
      <w:r w:rsidR="00F16EFC">
        <w:t xml:space="preserve"> sektor (18 %) </w:t>
      </w:r>
      <w:r w:rsidR="00F93E9A">
        <w:t xml:space="preserve">jämfört med </w:t>
      </w:r>
      <w:r w:rsidR="00F16EFC">
        <w:t xml:space="preserve">privat sektor (16 %). Skillnaden är dock </w:t>
      </w:r>
      <w:r w:rsidR="0098031F">
        <w:t>liten</w:t>
      </w:r>
      <w:r w:rsidR="00F16EFC">
        <w:t xml:space="preserve"> och eftersom uppgifterna bygger på en urvalsundersökning bör små skillnader över tid eller mellan olika grupper tolkas med försiktighet.</w:t>
      </w:r>
      <w:r w:rsidR="00060A7C">
        <w:t xml:space="preserve"> </w:t>
      </w:r>
    </w:p>
    <w:p w:rsidR="00C55696" w:rsidRDefault="00C55696" w:rsidP="00C55696">
      <w:r>
        <w:t xml:space="preserve">Antalsmässigt motsvarar det </w:t>
      </w:r>
      <w:r w:rsidR="003A6F28">
        <w:t xml:space="preserve">2013 </w:t>
      </w:r>
      <w:r>
        <w:t>2,4 miljoner tillsvidareanställda inom privat sektor och 1,1 miljoner inom offentlig sektor</w:t>
      </w:r>
      <w:r w:rsidR="003A6F28">
        <w:t xml:space="preserve">. Antalet med tidsbegränsad anställning 2013 var inom privat sektor 460 000 och inom offentlig sektor 230 000. </w:t>
      </w:r>
      <w:r>
        <w:t xml:space="preserve">År 2006 var </w:t>
      </w:r>
      <w:r w:rsidR="003A6F28">
        <w:t>2,1 miljoner tillsvidareanställda inom privat sektor och 1,1 miljoner inom offentlig sektor. Antalet med tidsbegränsad anställning 2006 var inom privat sektor 420 000 och inom offentlig sektor 250 000.</w:t>
      </w:r>
    </w:p>
    <w:p w:rsidR="00AE0E9A" w:rsidRDefault="00AE0E9A" w:rsidP="00AE0E9A">
      <w:r>
        <w:t xml:space="preserve">Inte heller när man undersöker olika sektorer är det någon större förändring i andelen med tidsbegränsad anställning över tid. </w:t>
      </w:r>
      <w:r w:rsidR="00BD7D6C">
        <w:t>Undantaget är</w:t>
      </w:r>
      <w:r>
        <w:t xml:space="preserve"> åren 2008 och 2009 då andelen med tidsbegränsad anställning sjunker, </w:t>
      </w:r>
      <w:r w:rsidR="00BD7D6C">
        <w:t>vilket</w:t>
      </w:r>
      <w:r>
        <w:t xml:space="preserve"> troligen </w:t>
      </w:r>
      <w:r w:rsidR="00BD7D6C">
        <w:t xml:space="preserve">beror </w:t>
      </w:r>
      <w:r>
        <w:t xml:space="preserve">på att </w:t>
      </w:r>
      <w:r>
        <w:lastRenderedPageBreak/>
        <w:t>många anställda med tidsbegränsad anställning inte fick förlängd anställning under dessa år</w:t>
      </w:r>
      <w:r w:rsidR="00BD7D6C">
        <w:t>, på grund av den då rådande lågkonjunkturen.</w:t>
      </w:r>
    </w:p>
    <w:p w:rsidR="007D3376" w:rsidRDefault="007D3376" w:rsidP="000A4FDD"/>
    <w:p w:rsidR="003A7BAD" w:rsidRDefault="003A7BAD" w:rsidP="003A7BAD">
      <w:pPr>
        <w:pStyle w:val="Beskrivning"/>
      </w:pPr>
      <w:r>
        <w:t xml:space="preserve">Diagram </w:t>
      </w:r>
      <w:fldSimple w:instr=" SEQ Diagram \* ARABIC ">
        <w:r w:rsidR="007607E0">
          <w:rPr>
            <w:noProof/>
          </w:rPr>
          <w:t>5</w:t>
        </w:r>
      </w:fldSimple>
      <w:r>
        <w:t xml:space="preserve"> Andel av de anställda med tidsbegränsad anställning, fördelad på sektor, 2005-2013, 1 000-tal</w:t>
      </w:r>
    </w:p>
    <w:p w:rsidR="003A7BAD" w:rsidRDefault="00F47FF9" w:rsidP="003A7BAD">
      <w:r>
        <w:rPr>
          <w:noProof/>
        </w:rPr>
        <w:drawing>
          <wp:inline distT="0" distB="0" distL="0" distR="0" wp14:anchorId="4BE7900C">
            <wp:extent cx="4320000" cy="2599200"/>
            <wp:effectExtent l="0" t="0" r="4445"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000" cy="2599200"/>
                    </a:xfrm>
                    <a:prstGeom prst="rect">
                      <a:avLst/>
                    </a:prstGeom>
                    <a:noFill/>
                  </pic:spPr>
                </pic:pic>
              </a:graphicData>
            </a:graphic>
          </wp:inline>
        </w:drawing>
      </w:r>
    </w:p>
    <w:p w:rsidR="003A7BAD" w:rsidRPr="00BA5E71" w:rsidRDefault="003A7BAD" w:rsidP="003A7BAD">
      <w:pPr>
        <w:pStyle w:val="Tabell-Klla"/>
        <w:spacing w:before="0" w:line="240" w:lineRule="auto"/>
      </w:pPr>
      <w:r w:rsidRPr="00BA5E71">
        <w:t>Källa. SCB/AKU</w:t>
      </w:r>
    </w:p>
    <w:p w:rsidR="003A7BAD" w:rsidRDefault="003A7BAD" w:rsidP="000A4FDD"/>
    <w:p w:rsidR="000A4FDD" w:rsidRDefault="000A4FDD" w:rsidP="000A4FDD">
      <w:pPr>
        <w:pStyle w:val="Rubrik2"/>
      </w:pPr>
      <w:r>
        <w:t>Anställningens omfattning</w:t>
      </w:r>
    </w:p>
    <w:p w:rsidR="0098031F" w:rsidRDefault="0098031F" w:rsidP="0098031F">
      <w:r w:rsidRPr="00BF5DAF">
        <w:t xml:space="preserve">Uppgifter i AKU finns om antal timmar som </w:t>
      </w:r>
      <w:r>
        <w:t>de sysselsatta</w:t>
      </w:r>
      <w:r w:rsidRPr="00BF5DAF">
        <w:t xml:space="preserve"> arbetar varje vecka (överenskommen</w:t>
      </w:r>
      <w:r>
        <w:t xml:space="preserve"> arbetstid</w:t>
      </w:r>
      <w:r w:rsidRPr="00BF5DAF">
        <w:t>)</w:t>
      </w:r>
      <w:r>
        <w:t>.</w:t>
      </w:r>
      <w:r w:rsidRPr="00BF5DAF">
        <w:t xml:space="preserve"> </w:t>
      </w:r>
      <w:r>
        <w:t>I dessa uppgifter ingår både anställda och egenföretagare inkl. familjemedlemmar. S</w:t>
      </w:r>
      <w:r w:rsidRPr="00BF5DAF">
        <w:t xml:space="preserve">om heltid </w:t>
      </w:r>
      <w:r>
        <w:t>har utredningstjänsten valt att kategorisera de som arbetar 35 timmar eller mer per vecka, övriga kategoriseras som arbetandes deltid.</w:t>
      </w:r>
      <w:r>
        <w:rPr>
          <w:rStyle w:val="Fotnotsreferens"/>
        </w:rPr>
        <w:footnoteReference w:id="3"/>
      </w:r>
      <w:r>
        <w:t xml:space="preserve"> Uppgifter om arbetad tid finns inte publicerad i AKU fördelad på sektor.</w:t>
      </w:r>
    </w:p>
    <w:p w:rsidR="000030C3" w:rsidRPr="00D245E7" w:rsidRDefault="000030C3" w:rsidP="000A4FDD">
      <w:r w:rsidRPr="00D245E7">
        <w:t xml:space="preserve">I frågeställningen frågas efter andel av arbetskraften (sysselsatta och arbetslösa) som arbetar deltid respektive heltid. Det är vanligast att man sätter antal </w:t>
      </w:r>
      <w:r w:rsidR="007A0DFA" w:rsidRPr="00D245E7">
        <w:t>sysselsatta</w:t>
      </w:r>
      <w:r w:rsidRPr="00D245E7">
        <w:t xml:space="preserve"> som arbetar deltid respektive heltid till antal </w:t>
      </w:r>
      <w:r w:rsidR="007A0DFA" w:rsidRPr="00D245E7">
        <w:t>sysselsatta</w:t>
      </w:r>
      <w:r w:rsidRPr="00D245E7">
        <w:t xml:space="preserve">. Utredningstjänsten har därför i denna rapport satt antal personer som arbetar deltid respektive heltid i relation till antal </w:t>
      </w:r>
      <w:r w:rsidR="007A0DFA" w:rsidRPr="00D245E7">
        <w:t>sysselsatta</w:t>
      </w:r>
      <w:r w:rsidRPr="00D245E7">
        <w:t xml:space="preserve">. I bilaga 1 finns uppgift om andelen som arbetar deltid respektive heltid av den totala arbetskraften. </w:t>
      </w:r>
    </w:p>
    <w:p w:rsidR="002D492F" w:rsidRPr="00D245E7" w:rsidRDefault="002D492F" w:rsidP="002D492F">
      <w:r w:rsidRPr="00D245E7">
        <w:t xml:space="preserve">Av de </w:t>
      </w:r>
      <w:r w:rsidR="007A0DFA" w:rsidRPr="00D245E7">
        <w:t>sysselsatta</w:t>
      </w:r>
      <w:r w:rsidRPr="00D245E7">
        <w:t xml:space="preserve"> 2013</w:t>
      </w:r>
      <w:r w:rsidR="007A0DFA" w:rsidRPr="00D245E7">
        <w:t>,</w:t>
      </w:r>
      <w:r w:rsidRPr="00D245E7">
        <w:t xml:space="preserve"> </w:t>
      </w:r>
      <w:r w:rsidR="00CE238E" w:rsidRPr="00D245E7">
        <w:t>arbetade</w:t>
      </w:r>
      <w:r w:rsidRPr="00D245E7">
        <w:t xml:space="preserve"> </w:t>
      </w:r>
      <w:r w:rsidR="00CE238E" w:rsidRPr="00D245E7">
        <w:t>77</w:t>
      </w:r>
      <w:r w:rsidRPr="00D245E7">
        <w:t xml:space="preserve"> procent </w:t>
      </w:r>
      <w:r w:rsidR="00CE238E" w:rsidRPr="00D245E7">
        <w:t>heltid</w:t>
      </w:r>
      <w:r w:rsidRPr="00D245E7">
        <w:t xml:space="preserve"> och </w:t>
      </w:r>
      <w:r w:rsidR="00CE238E" w:rsidRPr="00D245E7">
        <w:t>23</w:t>
      </w:r>
      <w:r w:rsidRPr="00D245E7">
        <w:t xml:space="preserve"> procent </w:t>
      </w:r>
      <w:r w:rsidR="00CE238E" w:rsidRPr="00D245E7">
        <w:t>deltid</w:t>
      </w:r>
      <w:r w:rsidRPr="00D245E7">
        <w:t xml:space="preserve">. Bland kvinnorna var motsvarande andelar </w:t>
      </w:r>
      <w:r w:rsidR="00CE238E" w:rsidRPr="00D245E7">
        <w:t>67</w:t>
      </w:r>
      <w:r w:rsidRPr="00D245E7">
        <w:t xml:space="preserve"> respektive </w:t>
      </w:r>
      <w:r w:rsidR="00CE238E" w:rsidRPr="00D245E7">
        <w:t xml:space="preserve">33 procent och bland männen </w:t>
      </w:r>
      <w:r w:rsidR="00CE238E" w:rsidRPr="00D245E7">
        <w:lastRenderedPageBreak/>
        <w:t>86 respektive 14</w:t>
      </w:r>
      <w:r w:rsidRPr="00D245E7">
        <w:t xml:space="preserve"> procent. Det är alltså en </w:t>
      </w:r>
      <w:r w:rsidR="00CE238E" w:rsidRPr="00D245E7">
        <w:t>betydligt</w:t>
      </w:r>
      <w:r w:rsidRPr="00D245E7">
        <w:t xml:space="preserve"> större andel kvinnor än män som </w:t>
      </w:r>
      <w:r w:rsidR="00CE238E" w:rsidRPr="00D245E7">
        <w:t>arbetar deltid</w:t>
      </w:r>
      <w:r w:rsidRPr="00D245E7">
        <w:t>.</w:t>
      </w:r>
    </w:p>
    <w:p w:rsidR="002D492F" w:rsidRDefault="002D492F" w:rsidP="002D492F">
      <w:r>
        <w:t>Antalsmässigt motsvarar det 2013 totalt 3,</w:t>
      </w:r>
      <w:r w:rsidR="007A0DFA">
        <w:t>6</w:t>
      </w:r>
      <w:r>
        <w:t xml:space="preserve"> miljoner </w:t>
      </w:r>
      <w:r w:rsidR="007A0DFA">
        <w:t xml:space="preserve">som arbetar heltid </w:t>
      </w:r>
      <w:r>
        <w:t>(</w:t>
      </w:r>
      <w:r w:rsidR="008A5456">
        <w:t>1,5</w:t>
      </w:r>
      <w:r>
        <w:t xml:space="preserve"> milj. kvinnor och </w:t>
      </w:r>
      <w:r w:rsidR="008A5456">
        <w:t>2,1</w:t>
      </w:r>
      <w:r>
        <w:t xml:space="preserve"> milj. män) och </w:t>
      </w:r>
      <w:r w:rsidR="007A0DFA">
        <w:t>1,1 miljoner</w:t>
      </w:r>
      <w:r>
        <w:t xml:space="preserve"> </w:t>
      </w:r>
      <w:r w:rsidR="007A0DFA">
        <w:t>som arbetar deltid</w:t>
      </w:r>
      <w:r>
        <w:t xml:space="preserve"> (</w:t>
      </w:r>
      <w:r w:rsidR="008A5456">
        <w:t>740</w:t>
      </w:r>
      <w:r>
        <w:t xml:space="preserve"> 000 kvinnor och </w:t>
      </w:r>
      <w:r w:rsidR="008A5456">
        <w:t>340</w:t>
      </w:r>
      <w:r>
        <w:t xml:space="preserve"> 000 män). År 2006 var totalt </w:t>
      </w:r>
      <w:r w:rsidR="008A5456">
        <w:t>3,4 miljoner som arbetar heltid (1,3 milj. kvinnor och 2,0 milj. män) och 1,1 miljoner som arbetar deltid (7</w:t>
      </w:r>
      <w:r w:rsidR="00C35EC5">
        <w:t>7</w:t>
      </w:r>
      <w:r w:rsidR="008A5456">
        <w:t xml:space="preserve">0 000 kvinnor och </w:t>
      </w:r>
      <w:r w:rsidR="00C35EC5">
        <w:t>290</w:t>
      </w:r>
      <w:r w:rsidR="008A5456">
        <w:t> 000 män).</w:t>
      </w:r>
    </w:p>
    <w:p w:rsidR="002D492F" w:rsidRDefault="006F31F2" w:rsidP="002D492F">
      <w:r>
        <w:t>Andelen deltidsarbetande minskar något bland kvinnorna</w:t>
      </w:r>
      <w:r w:rsidR="00AE0E9A">
        <w:t xml:space="preserve"> (-3 %-enheter)</w:t>
      </w:r>
      <w:r>
        <w:t>.</w:t>
      </w:r>
      <w:r w:rsidRPr="006F31F2">
        <w:t xml:space="preserve"> </w:t>
      </w:r>
      <w:r>
        <w:t xml:space="preserve">Minskningen är dock </w:t>
      </w:r>
      <w:r w:rsidR="0098031F">
        <w:t>liten</w:t>
      </w:r>
      <w:r>
        <w:t xml:space="preserve"> och eftersom uppgifterna bygger på en urvalsundersökning bör små skillnader över tid eller mellan olika grupper tolkas med försiktighet.</w:t>
      </w:r>
      <w:r w:rsidR="00DB0E97">
        <w:t xml:space="preserve"> Bland männen är andelen deltidsarbetande i princip oförändrad.</w:t>
      </w:r>
    </w:p>
    <w:p w:rsidR="002D492F" w:rsidRDefault="002D492F" w:rsidP="002D492F"/>
    <w:p w:rsidR="002D492F" w:rsidRDefault="002D492F" w:rsidP="002D492F">
      <w:pPr>
        <w:pStyle w:val="Beskrivning"/>
      </w:pPr>
      <w:r>
        <w:t xml:space="preserve">Diagram </w:t>
      </w:r>
      <w:r w:rsidR="00651B7F">
        <w:fldChar w:fldCharType="begin"/>
      </w:r>
      <w:r w:rsidR="00651B7F">
        <w:instrText xml:space="preserve"> SEQ Diagram \* ARABIC </w:instrText>
      </w:r>
      <w:r w:rsidR="00651B7F">
        <w:fldChar w:fldCharType="separate"/>
      </w:r>
      <w:r w:rsidR="007607E0">
        <w:rPr>
          <w:noProof/>
        </w:rPr>
        <w:t>6</w:t>
      </w:r>
      <w:r w:rsidR="00651B7F">
        <w:rPr>
          <w:noProof/>
        </w:rPr>
        <w:fldChar w:fldCharType="end"/>
      </w:r>
      <w:r>
        <w:t xml:space="preserve"> Andel av de anställda som arbetar deltid, fördelad på kön, 2005-2013, 1 000-tal</w:t>
      </w:r>
    </w:p>
    <w:p w:rsidR="002D492F" w:rsidRDefault="00C35EC5" w:rsidP="002D492F">
      <w:r>
        <w:rPr>
          <w:noProof/>
        </w:rPr>
        <w:drawing>
          <wp:inline distT="0" distB="0" distL="0" distR="0" wp14:anchorId="666246AE">
            <wp:extent cx="4320000" cy="2592000"/>
            <wp:effectExtent l="0" t="0" r="444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0000" cy="2592000"/>
                    </a:xfrm>
                    <a:prstGeom prst="rect">
                      <a:avLst/>
                    </a:prstGeom>
                    <a:noFill/>
                  </pic:spPr>
                </pic:pic>
              </a:graphicData>
            </a:graphic>
          </wp:inline>
        </w:drawing>
      </w:r>
    </w:p>
    <w:p w:rsidR="002D492F" w:rsidRPr="00BA5E71" w:rsidRDefault="002D492F" w:rsidP="002D492F">
      <w:pPr>
        <w:pStyle w:val="Tabell-Klla"/>
        <w:spacing w:before="0" w:line="240" w:lineRule="auto"/>
      </w:pPr>
      <w:r w:rsidRPr="00BA5E71">
        <w:t>Källa. SCB/AKU</w:t>
      </w:r>
    </w:p>
    <w:p w:rsidR="002D492F" w:rsidRDefault="002D492F" w:rsidP="002D492F"/>
    <w:p w:rsidR="00F33E59" w:rsidRDefault="00F33E59" w:rsidP="00F33E59">
      <w:pPr>
        <w:pStyle w:val="Rubrik2"/>
      </w:pPr>
      <w:r>
        <w:t>Källa</w:t>
      </w:r>
    </w:p>
    <w:p w:rsidR="00F33E59" w:rsidRDefault="00F33E59" w:rsidP="001D1E7D">
      <w:r>
        <w:t>SCB, AKU</w:t>
      </w:r>
    </w:p>
    <w:sectPr w:rsidR="00F33E59" w:rsidSect="00A46314">
      <w:headerReference w:type="default" r:id="rId14"/>
      <w:footerReference w:type="default" r:id="rId15"/>
      <w:headerReference w:type="first" r:id="rId16"/>
      <w:footerReference w:type="first" r:id="rId17"/>
      <w:type w:val="continuous"/>
      <w:pgSz w:w="11907" w:h="16840" w:code="9"/>
      <w:pgMar w:top="567" w:right="3005" w:bottom="851" w:left="1701" w:header="567" w:footer="34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52A" w:rsidRDefault="0007752A" w:rsidP="00A56189">
      <w:r>
        <w:separator/>
      </w:r>
    </w:p>
  </w:endnote>
  <w:endnote w:type="continuationSeparator" w:id="0">
    <w:p w:rsidR="0007752A" w:rsidRDefault="0007752A" w:rsidP="00A5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6" w:type="dxa"/>
      <w:tblLayout w:type="fixed"/>
      <w:tblCellMar>
        <w:left w:w="70" w:type="dxa"/>
        <w:right w:w="70" w:type="dxa"/>
      </w:tblCellMar>
      <w:tblLook w:val="0000" w:firstRow="0" w:lastRow="0" w:firstColumn="0" w:lastColumn="0" w:noHBand="0" w:noVBand="0"/>
    </w:tblPr>
    <w:tblGrid>
      <w:gridCol w:w="9426"/>
    </w:tblGrid>
    <w:tr w:rsidR="001D1E7D" w:rsidRPr="002B4F43" w:rsidTr="00DC6DDF">
      <w:trPr>
        <w:trHeight w:val="1191"/>
      </w:trPr>
      <w:tc>
        <w:tcPr>
          <w:tcW w:w="9426" w:type="dxa"/>
        </w:tcPr>
        <w:p w:rsidR="001D1E7D" w:rsidRPr="002B4F43" w:rsidRDefault="001D1E7D" w:rsidP="00DC6DDF">
          <w:pPr>
            <w:pStyle w:val="NormalKompakt"/>
            <w:rPr>
              <w:rFonts w:ascii="GillSans Pro for Riksdagen Lt" w:hAnsi="GillSans Pro for Riksdagen Lt"/>
              <w:lang w:val="sv-SE"/>
            </w:rPr>
          </w:pPr>
        </w:p>
      </w:tc>
    </w:tr>
  </w:tbl>
  <w:p w:rsidR="001D1E7D" w:rsidRPr="002B4F43" w:rsidRDefault="001D1E7D" w:rsidP="006F6C65">
    <w:pPr>
      <w:pStyle w:val="KantHuvud"/>
      <w:framePr w:w="726" w:h="544" w:hRule="exact" w:wrap="around" w:x="10700" w:y="15934"/>
      <w:rPr>
        <w:rFonts w:ascii="GillSans Pro for Riksdagen Lt" w:hAnsi="GillSans Pro for Riksdagen Lt"/>
      </w:rPr>
    </w:pPr>
    <w:r w:rsidRPr="002B4F43">
      <w:rPr>
        <w:rStyle w:val="Sidnummer"/>
      </w:rPr>
      <w:fldChar w:fldCharType="begin"/>
    </w:r>
    <w:r w:rsidRPr="002B4F43">
      <w:rPr>
        <w:rStyle w:val="Sidnummer"/>
      </w:rPr>
      <w:instrText xml:space="preserve"> PAGE </w:instrText>
    </w:r>
    <w:r w:rsidRPr="002B4F43">
      <w:rPr>
        <w:rStyle w:val="Sidnummer"/>
      </w:rPr>
      <w:fldChar w:fldCharType="separate"/>
    </w:r>
    <w:r w:rsidR="00651B7F">
      <w:rPr>
        <w:rStyle w:val="Sidnummer"/>
        <w:noProof/>
      </w:rPr>
      <w:t>7</w:t>
    </w:r>
    <w:r w:rsidRPr="002B4F43">
      <w:rPr>
        <w:rStyle w:val="Sidnummer"/>
      </w:rPr>
      <w:fldChar w:fldCharType="end"/>
    </w:r>
    <w:r w:rsidRPr="002B4F43">
      <w:rPr>
        <w:rStyle w:val="Sidnummer"/>
      </w:rPr>
      <w:t xml:space="preserve"> (</w:t>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Pr="002B4F43">
      <w:rPr>
        <w:rStyle w:val="Sidnummer"/>
        <w:noProof/>
      </w:rPr>
      <w:t>3</w:t>
    </w:r>
    <w:r w:rsidRPr="002B4F43">
      <w:rPr>
        <w:rStyle w:val="Sidnummer"/>
      </w:rPr>
      <w:fldChar w:fldCharType="end"/>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00651B7F">
      <w:rPr>
        <w:rStyle w:val="Sidnummer"/>
        <w:noProof/>
      </w:rPr>
      <w:t>7</w:t>
    </w:r>
    <w:r w:rsidRPr="002B4F43">
      <w:rPr>
        <w:rStyle w:val="Sidnummer"/>
      </w:rPr>
      <w:fldChar w:fldCharType="end"/>
    </w:r>
    <w:r w:rsidRPr="002B4F43">
      <w:rPr>
        <w:rStyle w:val="Sidnummer"/>
      </w:rPr>
      <w:t>)</w:t>
    </w:r>
  </w:p>
  <w:p w:rsidR="001D1E7D" w:rsidRPr="002B4F43" w:rsidRDefault="001D1E7D" w:rsidP="0080470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6" w:type="dxa"/>
      <w:tblLayout w:type="fixed"/>
      <w:tblCellMar>
        <w:left w:w="70" w:type="dxa"/>
        <w:right w:w="70" w:type="dxa"/>
      </w:tblCellMar>
      <w:tblLook w:val="0000" w:firstRow="0" w:lastRow="0" w:firstColumn="0" w:lastColumn="0" w:noHBand="0" w:noVBand="0"/>
    </w:tblPr>
    <w:tblGrid>
      <w:gridCol w:w="9426"/>
    </w:tblGrid>
    <w:tr w:rsidR="001D1E7D" w:rsidRPr="002B4F43" w:rsidTr="00CD5008">
      <w:trPr>
        <w:trHeight w:val="1361"/>
      </w:trPr>
      <w:tc>
        <w:tcPr>
          <w:tcW w:w="9426" w:type="dxa"/>
        </w:tcPr>
        <w:p w:rsidR="0007752A" w:rsidRDefault="0007752A" w:rsidP="00922AE6">
          <w:pPr>
            <w:pStyle w:val="SidfotBrdtext"/>
          </w:pPr>
          <w:bookmarkStart w:id="8" w:name="Huvud"/>
        </w:p>
        <w:p w:rsidR="0007752A" w:rsidRDefault="0007752A" w:rsidP="00922AE6">
          <w:pPr>
            <w:pStyle w:val="SidfotBrdtext"/>
          </w:pPr>
        </w:p>
        <w:p w:rsidR="0007752A" w:rsidRDefault="0007752A" w:rsidP="0007752A">
          <w:pPr>
            <w:pStyle w:val="SidfotNamn"/>
          </w:pPr>
          <w:r>
            <w:t>Anna Enström Järleborg</w:t>
          </w:r>
        </w:p>
        <w:p w:rsidR="0007752A" w:rsidRDefault="0007752A" w:rsidP="0007752A">
          <w:pPr>
            <w:pStyle w:val="SidfotBrdtext"/>
          </w:pPr>
          <w:r>
            <w:t>Riksdagens utredningstjänst</w:t>
          </w:r>
        </w:p>
        <w:p w:rsidR="0007752A" w:rsidRDefault="0007752A" w:rsidP="0007752A">
          <w:pPr>
            <w:pStyle w:val="SidfotBrdtext"/>
          </w:pPr>
          <w:r>
            <w:t>Telefon: 08</w:t>
          </w:r>
          <w:r>
            <w:noBreakHyphen/>
            <w:t>786 43 79</w:t>
          </w:r>
          <w:r w:rsidRPr="0007752A">
            <w:t xml:space="preserve">  •  </w:t>
          </w:r>
          <w:r>
            <w:t>E-post: anna.jarleborg@riksdagen.se</w:t>
          </w:r>
        </w:p>
        <w:p w:rsidR="0007752A" w:rsidRDefault="0007752A" w:rsidP="0015799F">
          <w:pPr>
            <w:pBdr>
              <w:top w:val="single" w:sz="4" w:space="3" w:color="auto"/>
            </w:pBdr>
            <w:spacing w:before="80" w:line="220" w:lineRule="atLeast"/>
            <w:rPr>
              <w:rFonts w:ascii="GillSans Pro for Riksdagen Lt" w:hAnsi="GillSans Pro for Riksdagen Lt"/>
              <w:sz w:val="18"/>
              <w:szCs w:val="18"/>
            </w:rPr>
          </w:pPr>
          <w:bookmarkStart w:id="9" w:name="RiksdagenSidfotSvenska"/>
          <w:r w:rsidRPr="008F0F02">
            <w:rPr>
              <w:rFonts w:ascii="GillSans Pro for Riksdagen Lt" w:hAnsi="GillSans Pro for Riksdagen Lt"/>
              <w:spacing w:val="12"/>
              <w:sz w:val="18"/>
              <w:szCs w:val="18"/>
            </w:rPr>
            <w:t>SVERIGES RIKSDAG</w:t>
          </w:r>
          <w:r w:rsidRPr="008F0F02">
            <w:rPr>
              <w:rFonts w:ascii="GillSans Pro for Riksdagen Lt" w:hAnsi="GillSans Pro for Riksdagen Lt"/>
              <w:sz w:val="18"/>
              <w:szCs w:val="18"/>
            </w:rPr>
            <w:t xml:space="preserve">  100 12 </w:t>
          </w:r>
          <w:r>
            <w:rPr>
              <w:rFonts w:ascii="GillSans Pro for Riksdagen Lt" w:hAnsi="GillSans Pro for Riksdagen Lt"/>
              <w:sz w:val="18"/>
              <w:szCs w:val="18"/>
            </w:rPr>
            <w:t xml:space="preserve">Stockholm  •  Telefon 08-786 40 00  • </w:t>
          </w:r>
          <w:r w:rsidRPr="008F0F02">
            <w:rPr>
              <w:rFonts w:ascii="GillSans Pro for Riksdagen Lt" w:hAnsi="GillSans Pro for Riksdagen Lt"/>
              <w:sz w:val="18"/>
              <w:szCs w:val="18"/>
            </w:rPr>
            <w:t xml:space="preserve"> www.riksdagen.se</w:t>
          </w:r>
        </w:p>
        <w:bookmarkEnd w:id="9"/>
        <w:p w:rsidR="0007752A" w:rsidRPr="002B4F43" w:rsidRDefault="0007752A" w:rsidP="0007752A">
          <w:pPr>
            <w:pStyle w:val="SidfotBrdtext"/>
          </w:pPr>
        </w:p>
      </w:tc>
    </w:tr>
  </w:tbl>
  <w:bookmarkEnd w:id="8"/>
  <w:p w:rsidR="001D1E7D" w:rsidRDefault="001D1E7D" w:rsidP="00D96322">
    <w:pPr>
      <w:pStyle w:val="KantHuvud"/>
      <w:framePr w:w="726" w:h="544" w:hRule="exact" w:wrap="around" w:x="10700" w:y="15934"/>
    </w:pPr>
    <w:r>
      <w:rPr>
        <w:rStyle w:val="Sidnummer"/>
      </w:rPr>
      <w:fldChar w:fldCharType="begin"/>
    </w:r>
    <w:r>
      <w:rPr>
        <w:rStyle w:val="Sidnummer"/>
      </w:rPr>
      <w:instrText xml:space="preserve"> PAGE </w:instrText>
    </w:r>
    <w:r>
      <w:rPr>
        <w:rStyle w:val="Sidnummer"/>
      </w:rPr>
      <w:fldChar w:fldCharType="separate"/>
    </w:r>
    <w:r w:rsidR="00BD7D6C">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"0"  \* MERGEFORMAT </w:instrText>
    </w:r>
    <w:r>
      <w:rPr>
        <w:rStyle w:val="Sidnummer"/>
      </w:rPr>
      <w:fldChar w:fldCharType="separate"/>
    </w:r>
    <w:r>
      <w:rPr>
        <w:rStyle w:val="Sidnummer"/>
        <w:noProof/>
      </w:rPr>
      <w:t>3</w:t>
    </w:r>
    <w:r>
      <w:rPr>
        <w:rStyle w:val="Sidnummer"/>
      </w:rPr>
      <w:fldChar w:fldCharType="end"/>
    </w:r>
    <w:r>
      <w:rPr>
        <w:rStyle w:val="Sidnummer"/>
      </w:rPr>
      <w:fldChar w:fldCharType="begin"/>
    </w:r>
    <w:r>
      <w:rPr>
        <w:rStyle w:val="Sidnummer"/>
      </w:rPr>
      <w:instrText xml:space="preserve"> NUMPAGES  \# "0"  \* MERGEFORMAT </w:instrText>
    </w:r>
    <w:r>
      <w:rPr>
        <w:rStyle w:val="Sidnummer"/>
      </w:rPr>
      <w:fldChar w:fldCharType="separate"/>
    </w:r>
    <w:r w:rsidR="00BD7D6C">
      <w:rPr>
        <w:rStyle w:val="Sidnummer"/>
        <w:noProof/>
      </w:rPr>
      <w:t>7</w:t>
    </w:r>
    <w:r>
      <w:rPr>
        <w:rStyle w:val="Sidnummer"/>
      </w:rPr>
      <w:fldChar w:fldCharType="end"/>
    </w:r>
    <w:r>
      <w:rPr>
        <w:rStyle w:val="Sidnummer"/>
      </w:rPr>
      <w:t>)</w:t>
    </w:r>
  </w:p>
  <w:p w:rsidR="001D1E7D" w:rsidRPr="002B4F43" w:rsidRDefault="001D1E7D" w:rsidP="00A07D21">
    <w:pPr>
      <w:pStyle w:val="Sidfot"/>
      <w:spacing w:after="2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52A" w:rsidRDefault="0007752A" w:rsidP="00A56189">
      <w:r>
        <w:separator/>
      </w:r>
    </w:p>
  </w:footnote>
  <w:footnote w:type="continuationSeparator" w:id="0">
    <w:p w:rsidR="0007752A" w:rsidRDefault="0007752A" w:rsidP="00A56189">
      <w:r>
        <w:continuationSeparator/>
      </w:r>
    </w:p>
  </w:footnote>
  <w:footnote w:id="1">
    <w:p w:rsidR="0001541B" w:rsidRDefault="0001541B" w:rsidP="0001541B">
      <w:pPr>
        <w:pStyle w:val="Fotnotstext"/>
      </w:pPr>
      <w:r>
        <w:rPr>
          <w:rStyle w:val="Fotnotsreferens"/>
        </w:rPr>
        <w:footnoteRef/>
      </w:r>
      <w:r>
        <w:t xml:space="preserve"> P</w:t>
      </w:r>
      <w:r w:rsidRPr="00390309">
        <w:t>ersoner som under referensveckan</w:t>
      </w:r>
      <w:r>
        <w:t xml:space="preserve"> utfört</w:t>
      </w:r>
      <w:r w:rsidRPr="00390309">
        <w:t xml:space="preserve"> </w:t>
      </w:r>
      <w:r>
        <w:t>minst en timmes arbete</w:t>
      </w:r>
      <w:r w:rsidR="00EA7588">
        <w:t xml:space="preserve"> samt</w:t>
      </w:r>
      <w:r>
        <w:t xml:space="preserve"> personer som hade en anställning eller var egen företagare</w:t>
      </w:r>
      <w:r w:rsidR="00EA7588">
        <w:t xml:space="preserve"> under referensvecka</w:t>
      </w:r>
      <w:r>
        <w:t xml:space="preserve"> men som var tillfälligt frånvarande. Även personer </w:t>
      </w:r>
      <w:r w:rsidRPr="00390309">
        <w:t xml:space="preserve">som deltar i vissa arbetsmarknadspolitiska program räknas som sysselsatta. Det kan gälla t.ex. offentligt skyddat arbete </w:t>
      </w:r>
      <w:r w:rsidR="0098031F">
        <w:t>(</w:t>
      </w:r>
      <w:r w:rsidRPr="00390309">
        <w:t>Samhall</w:t>
      </w:r>
      <w:r w:rsidR="0098031F">
        <w:t>)</w:t>
      </w:r>
      <w:r w:rsidRPr="00390309">
        <w:t>, start av näringsverksamhet eller anställning med lönebidrag eller anställningsstöd</w:t>
      </w:r>
      <w:r>
        <w:t>.</w:t>
      </w:r>
    </w:p>
  </w:footnote>
  <w:footnote w:id="2">
    <w:p w:rsidR="0001541B" w:rsidRDefault="0001541B" w:rsidP="0001541B">
      <w:pPr>
        <w:pStyle w:val="Fotnotstext"/>
      </w:pPr>
      <w:r>
        <w:rPr>
          <w:rStyle w:val="Fotnotsreferens"/>
        </w:rPr>
        <w:footnoteRef/>
      </w:r>
      <w:r>
        <w:t xml:space="preserve"> </w:t>
      </w:r>
      <w:r w:rsidRPr="009A1CFA">
        <w:t>Personer som var utan arbete under referensveckan och som sökt arbete under de senaste fyra veckorna.</w:t>
      </w:r>
    </w:p>
  </w:footnote>
  <w:footnote w:id="3">
    <w:p w:rsidR="0098031F" w:rsidRDefault="0098031F" w:rsidP="0098031F">
      <w:pPr>
        <w:pStyle w:val="Fotnotstext"/>
      </w:pPr>
      <w:r>
        <w:rPr>
          <w:rStyle w:val="Fotnotsreferens"/>
        </w:rPr>
        <w:footnoteRef/>
      </w:r>
      <w:r>
        <w:t xml:space="preserve"> Arbetade timmar är </w:t>
      </w:r>
      <w:r w:rsidR="00651B7F">
        <w:t xml:space="preserve">i AKU </w:t>
      </w:r>
      <w:bookmarkStart w:id="4" w:name="_GoBack"/>
      <w:bookmarkEnd w:id="4"/>
      <w:r>
        <w:t>indelade i följande grupper; 1-19 timmar, 20-34 timmar och 35+ timmar.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7D" w:rsidRDefault="00651B7F" w:rsidP="0007752A">
    <w:pPr>
      <w:framePr w:w="9780" w:hSpace="142" w:wrap="around" w:vAnchor="page" w:hAnchor="page" w:x="1560" w:y="725"/>
      <w:spacing w:line="240" w:lineRule="auto"/>
      <w:ind w:right="275"/>
      <w:jc w:val="right"/>
      <w:rPr>
        <w:sz w:val="4"/>
      </w:rPr>
    </w:pPr>
    <w:bookmarkStart w:id="5" w:name="SvenskaLitenPM"/>
    <w:bookmarkStart w:id="6" w:name="SvenskaLiten"/>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27pt">
          <v:imagedata r:id="rId1" o:title="RiksdagenSvart"/>
        </v:shape>
      </w:pict>
    </w:r>
    <w:bookmarkEnd w:id="5"/>
  </w:p>
  <w:p w:rsidR="001D1E7D" w:rsidRDefault="001D1E7D" w:rsidP="008236F3">
    <w:pPr>
      <w:framePr w:hSpace="142" w:wrap="around" w:vAnchor="page" w:hAnchor="page" w:x="9255" w:y="725"/>
      <w:spacing w:line="240" w:lineRule="auto"/>
      <w:rPr>
        <w:sz w:val="4"/>
      </w:rPr>
    </w:pPr>
  </w:p>
  <w:p w:rsidR="001D1E7D" w:rsidRDefault="001D1E7D" w:rsidP="00CF25D1">
    <w:pPr>
      <w:pStyle w:val="NormalKompakt"/>
    </w:pPr>
  </w:p>
  <w:p w:rsidR="001D1E7D" w:rsidRDefault="001D1E7D" w:rsidP="00CF25D1">
    <w:pPr>
      <w:pStyle w:val="NormalKompakt"/>
    </w:pPr>
  </w:p>
  <w:bookmarkEnd w:id="6"/>
  <w:p w:rsidR="001D1E7D" w:rsidRDefault="001D1E7D" w:rsidP="00CF25D1">
    <w:pPr>
      <w:pStyle w:val="NormalKompakt"/>
    </w:pPr>
  </w:p>
  <w:p w:rsidR="001D1E7D" w:rsidRDefault="001D1E7D" w:rsidP="00CF25D1">
    <w:pPr>
      <w:pStyle w:val="NormalKompakt"/>
    </w:pPr>
  </w:p>
  <w:p w:rsidR="001D1E7D" w:rsidRDefault="001D1E7D" w:rsidP="00666060">
    <w:pPr>
      <w:pStyle w:val="NormalKompakt"/>
    </w:pPr>
  </w:p>
  <w:p w:rsidR="001D1E7D" w:rsidRDefault="001D1E7D" w:rsidP="00666060">
    <w:pPr>
      <w:pStyle w:val="NormalKompak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7D" w:rsidRDefault="00651B7F" w:rsidP="0007752A">
    <w:pPr>
      <w:pStyle w:val="logo"/>
      <w:framePr w:w="9499" w:wrap="around" w:x="1701" w:y="727"/>
      <w:ind w:firstLine="142"/>
      <w:jc w:val="right"/>
    </w:pPr>
    <w:bookmarkStart w:id="7" w:name="SvenskaPM"/>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4pt;height:30pt">
          <v:imagedata r:id="rId1" o:title="RiksdagenSvart"/>
        </v:shape>
      </w:pict>
    </w:r>
    <w:bookmarkEnd w:id="7"/>
  </w:p>
  <w:p w:rsidR="001D1E7D" w:rsidRDefault="001D1E7D" w:rsidP="000A3BEC">
    <w:pPr>
      <w:pStyle w:val="logo"/>
      <w:framePr w:wrap="around" w:x="8790" w:y="727"/>
    </w:pPr>
  </w:p>
  <w:tbl>
    <w:tblPr>
      <w:tblW w:w="7230" w:type="dxa"/>
      <w:tblCellMar>
        <w:left w:w="0" w:type="dxa"/>
        <w:right w:w="0" w:type="dxa"/>
      </w:tblCellMar>
      <w:tblLook w:val="01E0" w:firstRow="1" w:lastRow="1" w:firstColumn="1" w:lastColumn="1" w:noHBand="0" w:noVBand="0"/>
    </w:tblPr>
    <w:tblGrid>
      <w:gridCol w:w="7230"/>
    </w:tblGrid>
    <w:tr w:rsidR="001D1E7D" w:rsidTr="002451C3">
      <w:trPr>
        <w:trHeight w:val="1531"/>
      </w:trPr>
      <w:tc>
        <w:tcPr>
          <w:tcW w:w="7230" w:type="dxa"/>
        </w:tcPr>
        <w:p w:rsidR="001D1E7D" w:rsidRDefault="001D1E7D" w:rsidP="0007752A"/>
      </w:tc>
    </w:tr>
  </w:tbl>
  <w:p w:rsidR="001D1E7D" w:rsidRDefault="001D1E7D" w:rsidP="006460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A6D1CC"/>
    <w:lvl w:ilvl="0">
      <w:start w:val="1"/>
      <w:numFmt w:val="decimal"/>
      <w:lvlText w:val="%1."/>
      <w:lvlJc w:val="left"/>
      <w:pPr>
        <w:tabs>
          <w:tab w:val="num" w:pos="1492"/>
        </w:tabs>
        <w:ind w:left="1492" w:hanging="360"/>
      </w:pPr>
    </w:lvl>
  </w:abstractNum>
  <w:abstractNum w:abstractNumId="1">
    <w:nsid w:val="FFFFFF7D"/>
    <w:multiLevelType w:val="singleLevel"/>
    <w:tmpl w:val="E9F4F60A"/>
    <w:lvl w:ilvl="0">
      <w:start w:val="1"/>
      <w:numFmt w:val="decimal"/>
      <w:lvlText w:val="%1."/>
      <w:lvlJc w:val="left"/>
      <w:pPr>
        <w:tabs>
          <w:tab w:val="num" w:pos="1209"/>
        </w:tabs>
        <w:ind w:left="1209" w:hanging="360"/>
      </w:pPr>
    </w:lvl>
  </w:abstractNum>
  <w:abstractNum w:abstractNumId="2">
    <w:nsid w:val="FFFFFF7E"/>
    <w:multiLevelType w:val="singleLevel"/>
    <w:tmpl w:val="E32E00FA"/>
    <w:lvl w:ilvl="0">
      <w:start w:val="1"/>
      <w:numFmt w:val="decimal"/>
      <w:lvlText w:val="%1."/>
      <w:lvlJc w:val="left"/>
      <w:pPr>
        <w:tabs>
          <w:tab w:val="num" w:pos="926"/>
        </w:tabs>
        <w:ind w:left="926" w:hanging="360"/>
      </w:pPr>
    </w:lvl>
  </w:abstractNum>
  <w:abstractNum w:abstractNumId="3">
    <w:nsid w:val="FFFFFF7F"/>
    <w:multiLevelType w:val="singleLevel"/>
    <w:tmpl w:val="6F6AB846"/>
    <w:lvl w:ilvl="0">
      <w:start w:val="1"/>
      <w:numFmt w:val="decimal"/>
      <w:lvlText w:val="%1."/>
      <w:lvlJc w:val="left"/>
      <w:pPr>
        <w:tabs>
          <w:tab w:val="num" w:pos="643"/>
        </w:tabs>
        <w:ind w:left="643" w:hanging="360"/>
      </w:pPr>
    </w:lvl>
  </w:abstractNum>
  <w:abstractNum w:abstractNumId="4">
    <w:nsid w:val="FFFFFF80"/>
    <w:multiLevelType w:val="singleLevel"/>
    <w:tmpl w:val="0D748D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BC27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1C98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40D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02F910"/>
    <w:lvl w:ilvl="0">
      <w:start w:val="1"/>
      <w:numFmt w:val="decimal"/>
      <w:lvlText w:val="%1."/>
      <w:lvlJc w:val="left"/>
      <w:pPr>
        <w:tabs>
          <w:tab w:val="num" w:pos="360"/>
        </w:tabs>
        <w:ind w:left="360" w:hanging="360"/>
      </w:pPr>
    </w:lvl>
  </w:abstractNum>
  <w:abstractNum w:abstractNumId="9">
    <w:nsid w:val="FFFFFF89"/>
    <w:multiLevelType w:val="singleLevel"/>
    <w:tmpl w:val="AD9CB2FC"/>
    <w:lvl w:ilvl="0">
      <w:start w:val="1"/>
      <w:numFmt w:val="bullet"/>
      <w:lvlText w:val=""/>
      <w:lvlJc w:val="left"/>
      <w:pPr>
        <w:tabs>
          <w:tab w:val="num" w:pos="360"/>
        </w:tabs>
        <w:ind w:left="360" w:hanging="360"/>
      </w:pPr>
      <w:rPr>
        <w:rFonts w:ascii="Symbol" w:hAnsi="Symbol" w:hint="default"/>
      </w:rPr>
    </w:lvl>
  </w:abstractNum>
  <w:abstractNum w:abstractNumId="1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0D2A432E"/>
    <w:multiLevelType w:val="hybridMultilevel"/>
    <w:tmpl w:val="09402D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1CAA5F23"/>
    <w:multiLevelType w:val="multilevel"/>
    <w:tmpl w:val="208290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B870363"/>
    <w:multiLevelType w:val="hybridMultilevel"/>
    <w:tmpl w:val="F8B272B4"/>
    <w:lvl w:ilvl="0" w:tplc="2D0CA15E">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2F9F21E3"/>
    <w:multiLevelType w:val="multilevel"/>
    <w:tmpl w:val="B86A5F2C"/>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nsid w:val="3B266917"/>
    <w:multiLevelType w:val="multilevel"/>
    <w:tmpl w:val="208290A4"/>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BC1769B"/>
    <w:multiLevelType w:val="multilevel"/>
    <w:tmpl w:val="09402D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287063"/>
    <w:multiLevelType w:val="hybridMultilevel"/>
    <w:tmpl w:val="E1B8CD8A"/>
    <w:lvl w:ilvl="0" w:tplc="1C263B8C">
      <w:start w:val="1"/>
      <w:numFmt w:val="bullet"/>
      <w:pStyle w:val="Punktlista"/>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18">
    <w:nsid w:val="5215275C"/>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43714DB"/>
    <w:multiLevelType w:val="hybridMultilevel"/>
    <w:tmpl w:val="A3822584"/>
    <w:lvl w:ilvl="0" w:tplc="BFA2263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2616F32"/>
    <w:multiLevelType w:val="hybridMultilevel"/>
    <w:tmpl w:val="9A288C0A"/>
    <w:lvl w:ilvl="0" w:tplc="CDAA99AA">
      <w:start w:val="1"/>
      <w:numFmt w:val="bullet"/>
      <w:pStyle w:val="Punktlistautanluft"/>
      <w:lvlText w:val=""/>
      <w:lvlJc w:val="left"/>
      <w:pPr>
        <w:tabs>
          <w:tab w:val="num" w:pos="-3"/>
        </w:tabs>
        <w:ind w:left="264" w:hanging="264"/>
      </w:pPr>
      <w:rPr>
        <w:rFonts w:ascii="Symbol" w:hAnsi="Symbol" w:hint="default"/>
      </w:rPr>
    </w:lvl>
    <w:lvl w:ilvl="1" w:tplc="7FE2828E">
      <w:start w:val="1"/>
      <w:numFmt w:val="bullet"/>
      <w:pStyle w:val="Punktlista2"/>
      <w:lvlText w:val="o"/>
      <w:lvlJc w:val="left"/>
      <w:pPr>
        <w:tabs>
          <w:tab w:val="num" w:pos="1080"/>
        </w:tabs>
        <w:ind w:left="1080" w:hanging="360"/>
      </w:pPr>
      <w:rPr>
        <w:rFonts w:ascii="Courier New" w:hAnsi="Courier New" w:cs="Courier New" w:hint="default"/>
      </w:rPr>
    </w:lvl>
    <w:lvl w:ilvl="2" w:tplc="5CA8FD24">
      <w:start w:val="1"/>
      <w:numFmt w:val="bullet"/>
      <w:pStyle w:val="Punktlista3"/>
      <w:lvlText w:val=""/>
      <w:lvlJc w:val="left"/>
      <w:pPr>
        <w:tabs>
          <w:tab w:val="num" w:pos="1800"/>
        </w:tabs>
        <w:ind w:left="1800" w:hanging="360"/>
      </w:pPr>
      <w:rPr>
        <w:rFonts w:ascii="Wingdings" w:hAnsi="Wingdings" w:hint="default"/>
      </w:rPr>
    </w:lvl>
    <w:lvl w:ilvl="3" w:tplc="B0BEEBEE">
      <w:start w:val="1"/>
      <w:numFmt w:val="bullet"/>
      <w:pStyle w:val="Punktlista4"/>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23">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8AD49A1"/>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8"/>
  </w:num>
  <w:num w:numId="13">
    <w:abstractNumId w:val="24"/>
  </w:num>
  <w:num w:numId="14">
    <w:abstractNumId w:val="16"/>
  </w:num>
  <w:num w:numId="15">
    <w:abstractNumId w:val="21"/>
  </w:num>
  <w:num w:numId="16">
    <w:abstractNumId w:val="17"/>
  </w:num>
  <w:num w:numId="17">
    <w:abstractNumId w:val="14"/>
  </w:num>
  <w:num w:numId="18">
    <w:abstractNumId w:val="13"/>
  </w:num>
  <w:num w:numId="19">
    <w:abstractNumId w:val="15"/>
  </w:num>
  <w:num w:numId="20">
    <w:abstractNumId w:val="12"/>
  </w:num>
  <w:num w:numId="21">
    <w:abstractNumId w:val="20"/>
  </w:num>
  <w:num w:numId="22">
    <w:abstractNumId w:val="10"/>
  </w:num>
  <w:num w:numId="23">
    <w:abstractNumId w:val="23"/>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vsändare1" w:val="Falskt"/>
    <w:docVar w:name="Avsändare2" w:val="Sant"/>
    <w:docVar w:name="Avsändare3" w:val="Sant"/>
    <w:docVar w:name="Avsändare4" w:val="Falskt"/>
    <w:docVar w:name="Avsändare5" w:val="Falskt"/>
    <w:docVar w:name="LogoFärg" w:val="Svart"/>
    <w:docVar w:name="Namn" w:val="Anna Enström Järleborg"/>
    <w:docVar w:name="RedanKörd" w:val="Sant"/>
    <w:docVar w:name="SidfotHemort" w:val="Falskt"/>
    <w:docVar w:name="SidfotRiksdag" w:val="Sant"/>
    <w:docVar w:name="SidfotStockholm" w:val="Falskt"/>
    <w:docVar w:name="Språk" w:val="Svenska"/>
  </w:docVars>
  <w:rsids>
    <w:rsidRoot w:val="0007752A"/>
    <w:rsid w:val="000030C3"/>
    <w:rsid w:val="000046DD"/>
    <w:rsid w:val="00006FDD"/>
    <w:rsid w:val="0001089E"/>
    <w:rsid w:val="0001475F"/>
    <w:rsid w:val="00014B94"/>
    <w:rsid w:val="0001541B"/>
    <w:rsid w:val="00017E58"/>
    <w:rsid w:val="00021B02"/>
    <w:rsid w:val="000228A5"/>
    <w:rsid w:val="000244B6"/>
    <w:rsid w:val="00026AC8"/>
    <w:rsid w:val="0003283A"/>
    <w:rsid w:val="000344C3"/>
    <w:rsid w:val="00042019"/>
    <w:rsid w:val="000441AD"/>
    <w:rsid w:val="000475F1"/>
    <w:rsid w:val="00050417"/>
    <w:rsid w:val="00050843"/>
    <w:rsid w:val="00060A7C"/>
    <w:rsid w:val="0006222D"/>
    <w:rsid w:val="00065C00"/>
    <w:rsid w:val="000668F3"/>
    <w:rsid w:val="00066C6A"/>
    <w:rsid w:val="0007271C"/>
    <w:rsid w:val="00073A8F"/>
    <w:rsid w:val="0007752A"/>
    <w:rsid w:val="00084818"/>
    <w:rsid w:val="0008779F"/>
    <w:rsid w:val="00094025"/>
    <w:rsid w:val="00094E52"/>
    <w:rsid w:val="00095C3B"/>
    <w:rsid w:val="00096F43"/>
    <w:rsid w:val="000A1FD1"/>
    <w:rsid w:val="000A3BEC"/>
    <w:rsid w:val="000A4E68"/>
    <w:rsid w:val="000A4FDD"/>
    <w:rsid w:val="000A6F74"/>
    <w:rsid w:val="000A7D99"/>
    <w:rsid w:val="000B04E9"/>
    <w:rsid w:val="000B4314"/>
    <w:rsid w:val="000C2F8C"/>
    <w:rsid w:val="000C3B94"/>
    <w:rsid w:val="000C70D7"/>
    <w:rsid w:val="000D1D3C"/>
    <w:rsid w:val="000D304B"/>
    <w:rsid w:val="000D57AD"/>
    <w:rsid w:val="000E2009"/>
    <w:rsid w:val="000E2903"/>
    <w:rsid w:val="000E57F3"/>
    <w:rsid w:val="000F13CE"/>
    <w:rsid w:val="000F60E2"/>
    <w:rsid w:val="001049C5"/>
    <w:rsid w:val="00112E6B"/>
    <w:rsid w:val="00120F5D"/>
    <w:rsid w:val="00122859"/>
    <w:rsid w:val="00130738"/>
    <w:rsid w:val="001319D1"/>
    <w:rsid w:val="00143194"/>
    <w:rsid w:val="001435F8"/>
    <w:rsid w:val="00144393"/>
    <w:rsid w:val="00144676"/>
    <w:rsid w:val="001471A0"/>
    <w:rsid w:val="00152B5D"/>
    <w:rsid w:val="0015385F"/>
    <w:rsid w:val="00153F30"/>
    <w:rsid w:val="00156DF8"/>
    <w:rsid w:val="0015753F"/>
    <w:rsid w:val="00157A41"/>
    <w:rsid w:val="00160B4B"/>
    <w:rsid w:val="00161F00"/>
    <w:rsid w:val="00162DBF"/>
    <w:rsid w:val="00166508"/>
    <w:rsid w:val="001672B7"/>
    <w:rsid w:val="00173C5D"/>
    <w:rsid w:val="00183236"/>
    <w:rsid w:val="00187307"/>
    <w:rsid w:val="00193322"/>
    <w:rsid w:val="001A25B0"/>
    <w:rsid w:val="001A35DC"/>
    <w:rsid w:val="001B032A"/>
    <w:rsid w:val="001B4F3D"/>
    <w:rsid w:val="001B57B3"/>
    <w:rsid w:val="001B672F"/>
    <w:rsid w:val="001B6778"/>
    <w:rsid w:val="001D14EC"/>
    <w:rsid w:val="001D1A16"/>
    <w:rsid w:val="001D1E7D"/>
    <w:rsid w:val="001D3F71"/>
    <w:rsid w:val="001D51BE"/>
    <w:rsid w:val="001D5A83"/>
    <w:rsid w:val="001E2A76"/>
    <w:rsid w:val="001F4AF3"/>
    <w:rsid w:val="001F5A6C"/>
    <w:rsid w:val="00210CF6"/>
    <w:rsid w:val="00213E65"/>
    <w:rsid w:val="00221257"/>
    <w:rsid w:val="002263CE"/>
    <w:rsid w:val="00227CBA"/>
    <w:rsid w:val="00242F51"/>
    <w:rsid w:val="002451C3"/>
    <w:rsid w:val="00253092"/>
    <w:rsid w:val="00254B93"/>
    <w:rsid w:val="00257937"/>
    <w:rsid w:val="00273966"/>
    <w:rsid w:val="00277D4B"/>
    <w:rsid w:val="002823FB"/>
    <w:rsid w:val="002856EE"/>
    <w:rsid w:val="00291258"/>
    <w:rsid w:val="00291F8F"/>
    <w:rsid w:val="00293865"/>
    <w:rsid w:val="002A2DB3"/>
    <w:rsid w:val="002A344C"/>
    <w:rsid w:val="002B4EDE"/>
    <w:rsid w:val="002B4F43"/>
    <w:rsid w:val="002D2F13"/>
    <w:rsid w:val="002D492F"/>
    <w:rsid w:val="002D63D1"/>
    <w:rsid w:val="002D6B02"/>
    <w:rsid w:val="002E18A5"/>
    <w:rsid w:val="002E3117"/>
    <w:rsid w:val="002F2920"/>
    <w:rsid w:val="002F4431"/>
    <w:rsid w:val="003031AF"/>
    <w:rsid w:val="00304DFB"/>
    <w:rsid w:val="00310B5B"/>
    <w:rsid w:val="00317954"/>
    <w:rsid w:val="00320BE1"/>
    <w:rsid w:val="00327205"/>
    <w:rsid w:val="003314E1"/>
    <w:rsid w:val="003544C9"/>
    <w:rsid w:val="00354892"/>
    <w:rsid w:val="00356808"/>
    <w:rsid w:val="00360DCB"/>
    <w:rsid w:val="00361D5C"/>
    <w:rsid w:val="00366A8A"/>
    <w:rsid w:val="00373590"/>
    <w:rsid w:val="00384FBE"/>
    <w:rsid w:val="0038684B"/>
    <w:rsid w:val="00390309"/>
    <w:rsid w:val="003969B4"/>
    <w:rsid w:val="003A1B07"/>
    <w:rsid w:val="003A2FEE"/>
    <w:rsid w:val="003A4BCC"/>
    <w:rsid w:val="003A4E01"/>
    <w:rsid w:val="003A5EB6"/>
    <w:rsid w:val="003A6F28"/>
    <w:rsid w:val="003A7327"/>
    <w:rsid w:val="003A7BAD"/>
    <w:rsid w:val="003C38C1"/>
    <w:rsid w:val="003C6FAB"/>
    <w:rsid w:val="003C78BF"/>
    <w:rsid w:val="003D1399"/>
    <w:rsid w:val="003D5DE0"/>
    <w:rsid w:val="003E16CE"/>
    <w:rsid w:val="003E3082"/>
    <w:rsid w:val="003E332E"/>
    <w:rsid w:val="003F24D1"/>
    <w:rsid w:val="003F6263"/>
    <w:rsid w:val="0040023A"/>
    <w:rsid w:val="0040795B"/>
    <w:rsid w:val="00412758"/>
    <w:rsid w:val="004146C6"/>
    <w:rsid w:val="00415217"/>
    <w:rsid w:val="004170D9"/>
    <w:rsid w:val="00422861"/>
    <w:rsid w:val="00433FE4"/>
    <w:rsid w:val="00436FFF"/>
    <w:rsid w:val="004408BA"/>
    <w:rsid w:val="004415D9"/>
    <w:rsid w:val="00445B2C"/>
    <w:rsid w:val="00447CB3"/>
    <w:rsid w:val="004546AB"/>
    <w:rsid w:val="00454C8A"/>
    <w:rsid w:val="00457AE1"/>
    <w:rsid w:val="004633A8"/>
    <w:rsid w:val="004674FC"/>
    <w:rsid w:val="004728AD"/>
    <w:rsid w:val="004836E2"/>
    <w:rsid w:val="0048472E"/>
    <w:rsid w:val="0049451E"/>
    <w:rsid w:val="00494C11"/>
    <w:rsid w:val="00494EEE"/>
    <w:rsid w:val="0049695E"/>
    <w:rsid w:val="004A0AC0"/>
    <w:rsid w:val="004A0FAA"/>
    <w:rsid w:val="004A3237"/>
    <w:rsid w:val="004A4562"/>
    <w:rsid w:val="004A73D4"/>
    <w:rsid w:val="004C2450"/>
    <w:rsid w:val="004D469E"/>
    <w:rsid w:val="004D54AD"/>
    <w:rsid w:val="004D759A"/>
    <w:rsid w:val="004E2B6D"/>
    <w:rsid w:val="004E3961"/>
    <w:rsid w:val="004E66F8"/>
    <w:rsid w:val="004E6A61"/>
    <w:rsid w:val="004F5F02"/>
    <w:rsid w:val="005063F1"/>
    <w:rsid w:val="0051338E"/>
    <w:rsid w:val="00522E29"/>
    <w:rsid w:val="00524766"/>
    <w:rsid w:val="00527427"/>
    <w:rsid w:val="00540BC4"/>
    <w:rsid w:val="00540C12"/>
    <w:rsid w:val="0054224B"/>
    <w:rsid w:val="00542BC3"/>
    <w:rsid w:val="0054559A"/>
    <w:rsid w:val="00546A9C"/>
    <w:rsid w:val="00552D66"/>
    <w:rsid w:val="00553050"/>
    <w:rsid w:val="00554E9A"/>
    <w:rsid w:val="00557E95"/>
    <w:rsid w:val="00563ADD"/>
    <w:rsid w:val="0058297F"/>
    <w:rsid w:val="00586247"/>
    <w:rsid w:val="00587CDE"/>
    <w:rsid w:val="00591132"/>
    <w:rsid w:val="005929C7"/>
    <w:rsid w:val="00594058"/>
    <w:rsid w:val="00594245"/>
    <w:rsid w:val="00596F4D"/>
    <w:rsid w:val="005A050E"/>
    <w:rsid w:val="005A40D1"/>
    <w:rsid w:val="005B4F14"/>
    <w:rsid w:val="005C17AE"/>
    <w:rsid w:val="005E5FD3"/>
    <w:rsid w:val="005F4C2D"/>
    <w:rsid w:val="006055FC"/>
    <w:rsid w:val="006056C5"/>
    <w:rsid w:val="00607411"/>
    <w:rsid w:val="006111BD"/>
    <w:rsid w:val="00611ED3"/>
    <w:rsid w:val="00612DB4"/>
    <w:rsid w:val="00624848"/>
    <w:rsid w:val="006263F6"/>
    <w:rsid w:val="00630879"/>
    <w:rsid w:val="006366F5"/>
    <w:rsid w:val="00636DEB"/>
    <w:rsid w:val="0063729F"/>
    <w:rsid w:val="00640281"/>
    <w:rsid w:val="00643D4F"/>
    <w:rsid w:val="006460AA"/>
    <w:rsid w:val="006465CA"/>
    <w:rsid w:val="00650DD1"/>
    <w:rsid w:val="00651B7F"/>
    <w:rsid w:val="00653E71"/>
    <w:rsid w:val="00654972"/>
    <w:rsid w:val="00657924"/>
    <w:rsid w:val="00657A70"/>
    <w:rsid w:val="00661DA4"/>
    <w:rsid w:val="00665444"/>
    <w:rsid w:val="00666060"/>
    <w:rsid w:val="006665AC"/>
    <w:rsid w:val="00666B8E"/>
    <w:rsid w:val="006721FB"/>
    <w:rsid w:val="0068413A"/>
    <w:rsid w:val="00684C62"/>
    <w:rsid w:val="00685C05"/>
    <w:rsid w:val="006863C5"/>
    <w:rsid w:val="006874DE"/>
    <w:rsid w:val="00692D31"/>
    <w:rsid w:val="0069358C"/>
    <w:rsid w:val="006A1E68"/>
    <w:rsid w:val="006A2685"/>
    <w:rsid w:val="006A438C"/>
    <w:rsid w:val="006A4DC6"/>
    <w:rsid w:val="006A5E1C"/>
    <w:rsid w:val="006B2EBA"/>
    <w:rsid w:val="006B3DD6"/>
    <w:rsid w:val="006B48A5"/>
    <w:rsid w:val="006C4D27"/>
    <w:rsid w:val="006C4E29"/>
    <w:rsid w:val="006D302D"/>
    <w:rsid w:val="006E1096"/>
    <w:rsid w:val="006E36B0"/>
    <w:rsid w:val="006F0010"/>
    <w:rsid w:val="006F0DF5"/>
    <w:rsid w:val="006F31F2"/>
    <w:rsid w:val="006F66CD"/>
    <w:rsid w:val="006F6C65"/>
    <w:rsid w:val="00706053"/>
    <w:rsid w:val="00710072"/>
    <w:rsid w:val="0071190A"/>
    <w:rsid w:val="00713077"/>
    <w:rsid w:val="007200A8"/>
    <w:rsid w:val="00731D7A"/>
    <w:rsid w:val="00732AAE"/>
    <w:rsid w:val="007341BE"/>
    <w:rsid w:val="00737A35"/>
    <w:rsid w:val="00750FD7"/>
    <w:rsid w:val="0075421C"/>
    <w:rsid w:val="007543E7"/>
    <w:rsid w:val="00755291"/>
    <w:rsid w:val="00757695"/>
    <w:rsid w:val="007607E0"/>
    <w:rsid w:val="00766347"/>
    <w:rsid w:val="00772788"/>
    <w:rsid w:val="00773B9E"/>
    <w:rsid w:val="007815DC"/>
    <w:rsid w:val="007A0DFA"/>
    <w:rsid w:val="007A213E"/>
    <w:rsid w:val="007A3700"/>
    <w:rsid w:val="007A3D56"/>
    <w:rsid w:val="007A447C"/>
    <w:rsid w:val="007A617E"/>
    <w:rsid w:val="007A6951"/>
    <w:rsid w:val="007B44CC"/>
    <w:rsid w:val="007D0471"/>
    <w:rsid w:val="007D3376"/>
    <w:rsid w:val="007E06AC"/>
    <w:rsid w:val="007E5BA3"/>
    <w:rsid w:val="007F498A"/>
    <w:rsid w:val="007F63E0"/>
    <w:rsid w:val="00804702"/>
    <w:rsid w:val="00804A41"/>
    <w:rsid w:val="008108E8"/>
    <w:rsid w:val="008236F3"/>
    <w:rsid w:val="00823BCE"/>
    <w:rsid w:val="00824FD1"/>
    <w:rsid w:val="008316A6"/>
    <w:rsid w:val="0083183D"/>
    <w:rsid w:val="0083504D"/>
    <w:rsid w:val="0084232C"/>
    <w:rsid w:val="00843F6F"/>
    <w:rsid w:val="00847D1B"/>
    <w:rsid w:val="0085313D"/>
    <w:rsid w:val="0085704F"/>
    <w:rsid w:val="0086199E"/>
    <w:rsid w:val="00866E6F"/>
    <w:rsid w:val="00872180"/>
    <w:rsid w:val="00880C83"/>
    <w:rsid w:val="00885D71"/>
    <w:rsid w:val="00894B42"/>
    <w:rsid w:val="008A012E"/>
    <w:rsid w:val="008A08C6"/>
    <w:rsid w:val="008A400F"/>
    <w:rsid w:val="008A5456"/>
    <w:rsid w:val="008B1190"/>
    <w:rsid w:val="008B374B"/>
    <w:rsid w:val="008C626B"/>
    <w:rsid w:val="008C656B"/>
    <w:rsid w:val="008D0154"/>
    <w:rsid w:val="008D3524"/>
    <w:rsid w:val="008D3D36"/>
    <w:rsid w:val="008D771E"/>
    <w:rsid w:val="008E2FF8"/>
    <w:rsid w:val="008E5638"/>
    <w:rsid w:val="008E779B"/>
    <w:rsid w:val="008F3867"/>
    <w:rsid w:val="00900852"/>
    <w:rsid w:val="0090517E"/>
    <w:rsid w:val="009055BB"/>
    <w:rsid w:val="009121EC"/>
    <w:rsid w:val="0091695B"/>
    <w:rsid w:val="009212CA"/>
    <w:rsid w:val="00922AE6"/>
    <w:rsid w:val="00933DE2"/>
    <w:rsid w:val="00933FE2"/>
    <w:rsid w:val="00947FC3"/>
    <w:rsid w:val="00955EDF"/>
    <w:rsid w:val="009601D0"/>
    <w:rsid w:val="009612DD"/>
    <w:rsid w:val="00964A93"/>
    <w:rsid w:val="00965F6C"/>
    <w:rsid w:val="00967478"/>
    <w:rsid w:val="00971803"/>
    <w:rsid w:val="0097514E"/>
    <w:rsid w:val="00975912"/>
    <w:rsid w:val="00980020"/>
    <w:rsid w:val="0098031F"/>
    <w:rsid w:val="00982A0D"/>
    <w:rsid w:val="00983024"/>
    <w:rsid w:val="009839D4"/>
    <w:rsid w:val="009867E3"/>
    <w:rsid w:val="00991768"/>
    <w:rsid w:val="009A1CFA"/>
    <w:rsid w:val="009A4404"/>
    <w:rsid w:val="009A7660"/>
    <w:rsid w:val="009B10F9"/>
    <w:rsid w:val="009B39D7"/>
    <w:rsid w:val="009C267A"/>
    <w:rsid w:val="009C701E"/>
    <w:rsid w:val="009D7516"/>
    <w:rsid w:val="009E0DE7"/>
    <w:rsid w:val="009E13D3"/>
    <w:rsid w:val="009E1EB2"/>
    <w:rsid w:val="009F0097"/>
    <w:rsid w:val="009F292C"/>
    <w:rsid w:val="00A00A12"/>
    <w:rsid w:val="00A05D01"/>
    <w:rsid w:val="00A07D21"/>
    <w:rsid w:val="00A13A3C"/>
    <w:rsid w:val="00A17000"/>
    <w:rsid w:val="00A22299"/>
    <w:rsid w:val="00A22C8D"/>
    <w:rsid w:val="00A25E76"/>
    <w:rsid w:val="00A3706C"/>
    <w:rsid w:val="00A375A2"/>
    <w:rsid w:val="00A4090B"/>
    <w:rsid w:val="00A434F6"/>
    <w:rsid w:val="00A45542"/>
    <w:rsid w:val="00A45BAF"/>
    <w:rsid w:val="00A46314"/>
    <w:rsid w:val="00A46AA3"/>
    <w:rsid w:val="00A53CE4"/>
    <w:rsid w:val="00A56189"/>
    <w:rsid w:val="00A635B7"/>
    <w:rsid w:val="00A664B5"/>
    <w:rsid w:val="00A6650D"/>
    <w:rsid w:val="00A70BBA"/>
    <w:rsid w:val="00A70E96"/>
    <w:rsid w:val="00A71AF0"/>
    <w:rsid w:val="00A8200A"/>
    <w:rsid w:val="00A8392B"/>
    <w:rsid w:val="00A84F3D"/>
    <w:rsid w:val="00A86BEE"/>
    <w:rsid w:val="00A95A6C"/>
    <w:rsid w:val="00AA5AFA"/>
    <w:rsid w:val="00AB31C7"/>
    <w:rsid w:val="00AB34CA"/>
    <w:rsid w:val="00AB4EC7"/>
    <w:rsid w:val="00AC200B"/>
    <w:rsid w:val="00AD1458"/>
    <w:rsid w:val="00AD2E46"/>
    <w:rsid w:val="00AD33EB"/>
    <w:rsid w:val="00AE057B"/>
    <w:rsid w:val="00AE0823"/>
    <w:rsid w:val="00AE0E9A"/>
    <w:rsid w:val="00AE0EBF"/>
    <w:rsid w:val="00AE32EB"/>
    <w:rsid w:val="00AE6438"/>
    <w:rsid w:val="00AE78C7"/>
    <w:rsid w:val="00AE7C2E"/>
    <w:rsid w:val="00AF42EC"/>
    <w:rsid w:val="00AF7467"/>
    <w:rsid w:val="00B02A1B"/>
    <w:rsid w:val="00B14319"/>
    <w:rsid w:val="00B2263F"/>
    <w:rsid w:val="00B27AF2"/>
    <w:rsid w:val="00B32F0E"/>
    <w:rsid w:val="00B47411"/>
    <w:rsid w:val="00B47570"/>
    <w:rsid w:val="00B53F0D"/>
    <w:rsid w:val="00B53F5F"/>
    <w:rsid w:val="00B551FC"/>
    <w:rsid w:val="00B5535C"/>
    <w:rsid w:val="00B64187"/>
    <w:rsid w:val="00B64904"/>
    <w:rsid w:val="00B6529F"/>
    <w:rsid w:val="00B731A2"/>
    <w:rsid w:val="00B73945"/>
    <w:rsid w:val="00B739E9"/>
    <w:rsid w:val="00B74F1A"/>
    <w:rsid w:val="00B81274"/>
    <w:rsid w:val="00B81800"/>
    <w:rsid w:val="00B9185E"/>
    <w:rsid w:val="00B94CA7"/>
    <w:rsid w:val="00B9561F"/>
    <w:rsid w:val="00B95801"/>
    <w:rsid w:val="00B9646E"/>
    <w:rsid w:val="00B96F7E"/>
    <w:rsid w:val="00B972B9"/>
    <w:rsid w:val="00BA5E71"/>
    <w:rsid w:val="00BB1108"/>
    <w:rsid w:val="00BB1B5A"/>
    <w:rsid w:val="00BB4AD8"/>
    <w:rsid w:val="00BC29B3"/>
    <w:rsid w:val="00BC3D77"/>
    <w:rsid w:val="00BC53CA"/>
    <w:rsid w:val="00BC59CF"/>
    <w:rsid w:val="00BD1DC1"/>
    <w:rsid w:val="00BD20A8"/>
    <w:rsid w:val="00BD3EC9"/>
    <w:rsid w:val="00BD7AD5"/>
    <w:rsid w:val="00BD7D6C"/>
    <w:rsid w:val="00BD7EDE"/>
    <w:rsid w:val="00BE04CD"/>
    <w:rsid w:val="00BE4C8D"/>
    <w:rsid w:val="00BF3B63"/>
    <w:rsid w:val="00BF5843"/>
    <w:rsid w:val="00BF5DAF"/>
    <w:rsid w:val="00C02D69"/>
    <w:rsid w:val="00C2330B"/>
    <w:rsid w:val="00C25016"/>
    <w:rsid w:val="00C2758B"/>
    <w:rsid w:val="00C3044C"/>
    <w:rsid w:val="00C3103C"/>
    <w:rsid w:val="00C31FAF"/>
    <w:rsid w:val="00C33828"/>
    <w:rsid w:val="00C35EC5"/>
    <w:rsid w:val="00C40FE3"/>
    <w:rsid w:val="00C443E6"/>
    <w:rsid w:val="00C459FA"/>
    <w:rsid w:val="00C45B5C"/>
    <w:rsid w:val="00C469D0"/>
    <w:rsid w:val="00C50291"/>
    <w:rsid w:val="00C50615"/>
    <w:rsid w:val="00C55696"/>
    <w:rsid w:val="00C56279"/>
    <w:rsid w:val="00C61116"/>
    <w:rsid w:val="00C67D1A"/>
    <w:rsid w:val="00C70038"/>
    <w:rsid w:val="00C717AF"/>
    <w:rsid w:val="00C7596A"/>
    <w:rsid w:val="00C8063D"/>
    <w:rsid w:val="00C807D3"/>
    <w:rsid w:val="00C87DD6"/>
    <w:rsid w:val="00CA10B3"/>
    <w:rsid w:val="00CA1ECA"/>
    <w:rsid w:val="00CB0870"/>
    <w:rsid w:val="00CB279D"/>
    <w:rsid w:val="00CB3C7B"/>
    <w:rsid w:val="00CB608A"/>
    <w:rsid w:val="00CC5C34"/>
    <w:rsid w:val="00CD022E"/>
    <w:rsid w:val="00CD4436"/>
    <w:rsid w:val="00CD5008"/>
    <w:rsid w:val="00CE238E"/>
    <w:rsid w:val="00CF25D1"/>
    <w:rsid w:val="00CF3DFA"/>
    <w:rsid w:val="00CF4FB2"/>
    <w:rsid w:val="00CF5205"/>
    <w:rsid w:val="00D061B4"/>
    <w:rsid w:val="00D071B3"/>
    <w:rsid w:val="00D16FEF"/>
    <w:rsid w:val="00D17242"/>
    <w:rsid w:val="00D21168"/>
    <w:rsid w:val="00D245E7"/>
    <w:rsid w:val="00D26443"/>
    <w:rsid w:val="00D338F1"/>
    <w:rsid w:val="00D349DB"/>
    <w:rsid w:val="00D35C71"/>
    <w:rsid w:val="00D52D44"/>
    <w:rsid w:val="00D57F19"/>
    <w:rsid w:val="00D6129E"/>
    <w:rsid w:val="00D61EB4"/>
    <w:rsid w:val="00D67448"/>
    <w:rsid w:val="00D719E8"/>
    <w:rsid w:val="00D71D04"/>
    <w:rsid w:val="00D72F04"/>
    <w:rsid w:val="00D751FA"/>
    <w:rsid w:val="00D77252"/>
    <w:rsid w:val="00D81067"/>
    <w:rsid w:val="00D83539"/>
    <w:rsid w:val="00D945F8"/>
    <w:rsid w:val="00D95C6E"/>
    <w:rsid w:val="00D96322"/>
    <w:rsid w:val="00D96B30"/>
    <w:rsid w:val="00D9746D"/>
    <w:rsid w:val="00D97E4C"/>
    <w:rsid w:val="00DA1766"/>
    <w:rsid w:val="00DA24DA"/>
    <w:rsid w:val="00DA5E4D"/>
    <w:rsid w:val="00DA6ADF"/>
    <w:rsid w:val="00DA700A"/>
    <w:rsid w:val="00DB0E97"/>
    <w:rsid w:val="00DB6288"/>
    <w:rsid w:val="00DB6706"/>
    <w:rsid w:val="00DB6BB9"/>
    <w:rsid w:val="00DB6F15"/>
    <w:rsid w:val="00DC0A82"/>
    <w:rsid w:val="00DC2CA8"/>
    <w:rsid w:val="00DC3112"/>
    <w:rsid w:val="00DC3BEE"/>
    <w:rsid w:val="00DC6DDF"/>
    <w:rsid w:val="00DC7D42"/>
    <w:rsid w:val="00DD7585"/>
    <w:rsid w:val="00DE35B1"/>
    <w:rsid w:val="00DF4698"/>
    <w:rsid w:val="00DF733A"/>
    <w:rsid w:val="00E04B59"/>
    <w:rsid w:val="00E0758F"/>
    <w:rsid w:val="00E13A2D"/>
    <w:rsid w:val="00E160D7"/>
    <w:rsid w:val="00E2189B"/>
    <w:rsid w:val="00E25C89"/>
    <w:rsid w:val="00E30B55"/>
    <w:rsid w:val="00E4025E"/>
    <w:rsid w:val="00E4463E"/>
    <w:rsid w:val="00E46F77"/>
    <w:rsid w:val="00E4744C"/>
    <w:rsid w:val="00E513B5"/>
    <w:rsid w:val="00E529C2"/>
    <w:rsid w:val="00E600AF"/>
    <w:rsid w:val="00E60F64"/>
    <w:rsid w:val="00E62AA8"/>
    <w:rsid w:val="00E637EC"/>
    <w:rsid w:val="00E6418C"/>
    <w:rsid w:val="00E73A35"/>
    <w:rsid w:val="00E87D00"/>
    <w:rsid w:val="00E92F58"/>
    <w:rsid w:val="00E9368D"/>
    <w:rsid w:val="00E94920"/>
    <w:rsid w:val="00EA2C9F"/>
    <w:rsid w:val="00EA5E1A"/>
    <w:rsid w:val="00EA7588"/>
    <w:rsid w:val="00EB33D0"/>
    <w:rsid w:val="00EB3912"/>
    <w:rsid w:val="00EB6C0A"/>
    <w:rsid w:val="00EB6FDA"/>
    <w:rsid w:val="00EC0526"/>
    <w:rsid w:val="00EC67D8"/>
    <w:rsid w:val="00ED5A35"/>
    <w:rsid w:val="00ED5D69"/>
    <w:rsid w:val="00ED6442"/>
    <w:rsid w:val="00ED7035"/>
    <w:rsid w:val="00ED737F"/>
    <w:rsid w:val="00EE0939"/>
    <w:rsid w:val="00EE4714"/>
    <w:rsid w:val="00EE68BD"/>
    <w:rsid w:val="00EF4F0C"/>
    <w:rsid w:val="00F006F8"/>
    <w:rsid w:val="00F05F65"/>
    <w:rsid w:val="00F06932"/>
    <w:rsid w:val="00F12112"/>
    <w:rsid w:val="00F15A75"/>
    <w:rsid w:val="00F16EFC"/>
    <w:rsid w:val="00F25AF3"/>
    <w:rsid w:val="00F30A9E"/>
    <w:rsid w:val="00F32F0E"/>
    <w:rsid w:val="00F33E59"/>
    <w:rsid w:val="00F37702"/>
    <w:rsid w:val="00F41C41"/>
    <w:rsid w:val="00F43006"/>
    <w:rsid w:val="00F46CF3"/>
    <w:rsid w:val="00F47293"/>
    <w:rsid w:val="00F47FF9"/>
    <w:rsid w:val="00F52372"/>
    <w:rsid w:val="00F62A04"/>
    <w:rsid w:val="00F647A7"/>
    <w:rsid w:val="00F7565A"/>
    <w:rsid w:val="00F763EA"/>
    <w:rsid w:val="00F77E2E"/>
    <w:rsid w:val="00F818EC"/>
    <w:rsid w:val="00F90A4D"/>
    <w:rsid w:val="00F93E9A"/>
    <w:rsid w:val="00F95EB8"/>
    <w:rsid w:val="00F97A5E"/>
    <w:rsid w:val="00FA0A1F"/>
    <w:rsid w:val="00FA0B29"/>
    <w:rsid w:val="00FA36FA"/>
    <w:rsid w:val="00FB4E76"/>
    <w:rsid w:val="00FB5278"/>
    <w:rsid w:val="00FB624E"/>
    <w:rsid w:val="00FB6F9F"/>
    <w:rsid w:val="00FB7014"/>
    <w:rsid w:val="00FD14A4"/>
    <w:rsid w:val="00FD5E21"/>
    <w:rsid w:val="00FD7DB9"/>
    <w:rsid w:val="00FE5EE3"/>
    <w:rsid w:val="00FE653F"/>
    <w:rsid w:val="00FE666E"/>
    <w:rsid w:val="00FE7814"/>
    <w:rsid w:val="00FF03B1"/>
    <w:rsid w:val="00FF2D41"/>
    <w:rsid w:val="00FF3195"/>
    <w:rsid w:val="00FF3673"/>
    <w:rsid w:val="00FF4EB8"/>
    <w:rsid w:val="00FF5B48"/>
    <w:rsid w:val="00FF7F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15:chartTrackingRefBased/>
  <w15:docId w15:val="{7C79CA14-6F7C-4D69-9254-B7C70D11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table of figures" w:semiHidden="1" w:unhideWhenUsed="1"/>
    <w:lsdException w:name="annotation reference" w:semiHidden="1"/>
    <w:lsdException w:name="line number" w:semiHidden="1"/>
    <w:lsdException w:name="endnote reference" w:semiHidden="1" w:unhideWhenUsed="1"/>
    <w:lsdException w:name="endnote text" w:semiHidden="1" w:unhideWhenUsed="1"/>
    <w:lsdException w:name="table of authorities" w:semiHidden="1"/>
    <w:lsdException w:name="macro" w:semiHidden="1"/>
    <w:lsdException w:name="Lis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FollowedHyperlink" w:semiHidden="1"/>
    <w:lsdException w:name="Strong" w:semiHidden="1" w:qFormat="1"/>
    <w:lsdException w:name="Emphasis" w:semiHidden="1" w:unhideWhenUsed="1" w:qFormat="1"/>
    <w:lsdException w:name="E-mail Signature"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814"/>
    <w:pPr>
      <w:tabs>
        <w:tab w:val="left" w:pos="284"/>
      </w:tabs>
      <w:spacing w:after="120" w:line="280" w:lineRule="atLeast"/>
    </w:pPr>
  </w:style>
  <w:style w:type="paragraph" w:styleId="Rubrik1">
    <w:name w:val="heading 1"/>
    <w:basedOn w:val="Normal"/>
    <w:next w:val="Normal"/>
    <w:qFormat/>
    <w:rsid w:val="00FB4E76"/>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qFormat/>
    <w:rsid w:val="00BB1B5A"/>
    <w:pPr>
      <w:spacing w:before="60" w:after="60" w:line="260" w:lineRule="atLeast"/>
      <w:outlineLvl w:val="1"/>
    </w:pPr>
    <w:rPr>
      <w:i/>
      <w:sz w:val="25"/>
    </w:rPr>
  </w:style>
  <w:style w:type="paragraph" w:styleId="Rubrik3">
    <w:name w:val="heading 3"/>
    <w:basedOn w:val="Rubrik1"/>
    <w:next w:val="Normal"/>
    <w:qFormat/>
    <w:rsid w:val="00BB1B5A"/>
    <w:pPr>
      <w:spacing w:before="60" w:after="20" w:line="240" w:lineRule="atLeast"/>
      <w:outlineLvl w:val="2"/>
    </w:pPr>
    <w:rPr>
      <w:rFonts w:cs="Arial"/>
      <w:bCs/>
      <w:sz w:val="24"/>
      <w:szCs w:val="26"/>
    </w:rPr>
  </w:style>
  <w:style w:type="paragraph" w:styleId="Rubrik4">
    <w:name w:val="heading 4"/>
    <w:basedOn w:val="Rubrik1"/>
    <w:next w:val="Normal"/>
    <w:qFormat/>
    <w:rsid w:val="004A4562"/>
    <w:pPr>
      <w:spacing w:before="0" w:after="40" w:line="200" w:lineRule="atLeast"/>
      <w:outlineLvl w:val="3"/>
    </w:pPr>
    <w:rPr>
      <w:rFonts w:ascii="Times New Roman" w:hAnsi="Times New Roman"/>
      <w:bCs/>
      <w:sz w:val="22"/>
      <w:szCs w:val="28"/>
    </w:rPr>
  </w:style>
  <w:style w:type="paragraph" w:styleId="Rubrik5">
    <w:name w:val="heading 5"/>
    <w:basedOn w:val="Rubrik4"/>
    <w:next w:val="Normal"/>
    <w:qFormat/>
    <w:rsid w:val="00BB1B5A"/>
    <w:pPr>
      <w:outlineLvl w:val="4"/>
    </w:pPr>
    <w:rPr>
      <w:bCs w:val="0"/>
      <w:i/>
      <w:iCs/>
      <w:szCs w:val="26"/>
    </w:rPr>
  </w:style>
  <w:style w:type="paragraph" w:styleId="Rubrik6">
    <w:name w:val="heading 6"/>
    <w:basedOn w:val="Rubrik5"/>
    <w:next w:val="Normal"/>
    <w:qFormat/>
    <w:rsid w:val="00A86BEE"/>
    <w:pPr>
      <w:outlineLvl w:val="5"/>
    </w:pPr>
    <w:rPr>
      <w:b w:val="0"/>
      <w:bCs/>
      <w:szCs w:val="22"/>
    </w:rPr>
  </w:style>
  <w:style w:type="paragraph" w:styleId="Rubrik7">
    <w:name w:val="heading 7"/>
    <w:basedOn w:val="Rubrik6"/>
    <w:next w:val="Normal"/>
    <w:link w:val="Rubrik7Char"/>
    <w:semiHidden/>
    <w:unhideWhenUsed/>
    <w:qFormat/>
    <w:rsid w:val="00A86BEE"/>
    <w:pPr>
      <w:outlineLvl w:val="6"/>
    </w:pPr>
    <w:rPr>
      <w:rFonts w:eastAsiaTheme="majorEastAsia" w:cstheme="majorBidi"/>
      <w:iCs w:val="0"/>
    </w:rPr>
  </w:style>
  <w:style w:type="paragraph" w:styleId="Rubrik8">
    <w:name w:val="heading 8"/>
    <w:basedOn w:val="Rubrik6"/>
    <w:next w:val="Normal"/>
    <w:link w:val="Rubrik8Char"/>
    <w:semiHidden/>
    <w:unhideWhenUsed/>
    <w:qFormat/>
    <w:rsid w:val="00A86BEE"/>
    <w:pPr>
      <w:outlineLvl w:val="7"/>
    </w:pPr>
    <w:rPr>
      <w:rFonts w:eastAsiaTheme="majorEastAsia" w:cstheme="majorBidi"/>
      <w:szCs w:val="21"/>
    </w:rPr>
  </w:style>
  <w:style w:type="paragraph" w:styleId="Rubrik9">
    <w:name w:val="heading 9"/>
    <w:basedOn w:val="Rubrik6"/>
    <w:next w:val="Normal"/>
    <w:link w:val="Rubrik9Char"/>
    <w:semiHidden/>
    <w:unhideWhenUsed/>
    <w:qFormat/>
    <w:rsid w:val="00A86BEE"/>
    <w:pPr>
      <w:outlineLvl w:val="8"/>
    </w:pPr>
    <w:rPr>
      <w:rFonts w:eastAsiaTheme="majorEastAsia" w:cstheme="majorBidi"/>
      <w:iCs w:val="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spacing w:after="0"/>
    </w:pPr>
  </w:style>
  <w:style w:type="paragraph" w:styleId="Sidfot">
    <w:name w:val="footer"/>
    <w:basedOn w:val="Normal"/>
    <w:semiHidden/>
    <w:rsid w:val="00494C11"/>
    <w:pPr>
      <w:spacing w:line="220" w:lineRule="atLeast"/>
    </w:pPr>
    <w:rPr>
      <w:rFonts w:ascii="GillSans Pro for Riksdagen Lt" w:hAnsi="GillSans Pro for Riksdagen Lt"/>
      <w:sz w:val="18"/>
    </w:rPr>
  </w:style>
  <w:style w:type="paragraph" w:customStyle="1" w:styleId="logo">
    <w:name w:val="logo"/>
    <w:basedOn w:val="Normal"/>
    <w:semiHidden/>
    <w:pPr>
      <w:framePr w:wrap="around" w:vAnchor="page" w:hAnchor="page" w:x="7939" w:y="511" w:anchorLock="1"/>
      <w:spacing w:after="0" w:line="240" w:lineRule="auto"/>
    </w:pPr>
    <w:rPr>
      <w:sz w:val="20"/>
    </w:rPr>
  </w:style>
  <w:style w:type="character" w:styleId="Sidnummer">
    <w:name w:val="page number"/>
    <w:basedOn w:val="Standardstycketeckensnitt"/>
    <w:semiHidden/>
    <w:rsid w:val="004728AD"/>
    <w:rPr>
      <w:rFonts w:ascii="GillSans Pro for Riksdagen Lt" w:hAnsi="GillSans Pro for Riksdagen Lt"/>
      <w:sz w:val="18"/>
      <w:vertAlign w:val="baseline"/>
    </w:rPr>
  </w:style>
  <w:style w:type="paragraph" w:customStyle="1" w:styleId="logo2">
    <w:name w:val="logo2"/>
    <w:basedOn w:val="logo"/>
    <w:semiHidden/>
    <w:pPr>
      <w:framePr w:wrap="around" w:x="9016"/>
    </w:pPr>
  </w:style>
  <w:style w:type="paragraph" w:customStyle="1" w:styleId="NormalCourier">
    <w:name w:val="NormalCourier"/>
    <w:basedOn w:val="Normal"/>
    <w:semiHidden/>
    <w:rPr>
      <w:rFonts w:ascii="Courier" w:hAnsi="Courier"/>
    </w:rPr>
  </w:style>
  <w:style w:type="paragraph" w:customStyle="1" w:styleId="KantHuvud">
    <w:name w:val="KantHuvud"/>
    <w:basedOn w:val="Normal"/>
    <w:semiHidden/>
    <w:pPr>
      <w:framePr w:w="2552" w:hSpace="284" w:wrap="around" w:vAnchor="page" w:hAnchor="page" w:x="8279" w:y="2326" w:anchorLock="1"/>
      <w:spacing w:after="0"/>
    </w:pPr>
  </w:style>
  <w:style w:type="table" w:styleId="Tabellrutnt">
    <w:name w:val="Table Grid"/>
    <w:basedOn w:val="Normaltabell"/>
    <w:uiPriority w:val="59"/>
    <w:rsid w:val="00D21168"/>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dfotNamn">
    <w:name w:val="SidfotNamn"/>
    <w:next w:val="SidfotBrdtext"/>
    <w:semiHidden/>
    <w:rsid w:val="00C50615"/>
    <w:pPr>
      <w:tabs>
        <w:tab w:val="left" w:pos="4320"/>
      </w:tabs>
      <w:spacing w:after="50" w:line="220" w:lineRule="exact"/>
    </w:pPr>
    <w:rPr>
      <w:rFonts w:ascii="GillSans Pro for Riksdagen Md" w:hAnsi="GillSans Pro for Riksdagen Md"/>
      <w:sz w:val="19"/>
    </w:rPr>
  </w:style>
  <w:style w:type="paragraph" w:customStyle="1" w:styleId="SidfotBrdtext">
    <w:name w:val="SidfotBrödtext"/>
    <w:basedOn w:val="SidfotNamn"/>
    <w:semiHidden/>
    <w:rsid w:val="00C50615"/>
    <w:pPr>
      <w:spacing w:after="0"/>
    </w:pPr>
    <w:rPr>
      <w:rFonts w:ascii="GillSans Pro for Riksdagen Lt" w:hAnsi="GillSans Pro for Riksdagen Lt"/>
      <w:sz w:val="18"/>
    </w:rPr>
  </w:style>
  <w:style w:type="paragraph" w:styleId="Oformateradtext">
    <w:name w:val="Plain Text"/>
    <w:basedOn w:val="Normal"/>
    <w:semiHidden/>
    <w:rsid w:val="007A447C"/>
    <w:rPr>
      <w:rFonts w:cs="Courier New"/>
      <w:szCs w:val="20"/>
    </w:rPr>
  </w:style>
  <w:style w:type="paragraph" w:customStyle="1" w:styleId="PMrubrik">
    <w:name w:val="PMrubrik"/>
    <w:next w:val="Normal"/>
    <w:semiHidden/>
    <w:rsid w:val="00EB33D0"/>
    <w:pPr>
      <w:spacing w:line="280" w:lineRule="atLeast"/>
    </w:pPr>
    <w:rPr>
      <w:rFonts w:ascii="GillSans Pro for Riksdagen Md" w:hAnsi="GillSans Pro for Riksdagen Md"/>
      <w:b/>
      <w:sz w:val="36"/>
      <w:szCs w:val="36"/>
    </w:rPr>
  </w:style>
  <w:style w:type="paragraph" w:customStyle="1" w:styleId="NormalKompakt">
    <w:name w:val="NormalKompakt"/>
    <w:basedOn w:val="Normal"/>
    <w:semiHidden/>
    <w:rsid w:val="00CF25D1"/>
    <w:pPr>
      <w:spacing w:after="0" w:line="240" w:lineRule="auto"/>
    </w:pPr>
    <w:rPr>
      <w:lang w:val="en-GB"/>
    </w:rPr>
  </w:style>
  <w:style w:type="paragraph" w:customStyle="1" w:styleId="Titelrubrik">
    <w:name w:val="Titelrubrik"/>
    <w:basedOn w:val="Rubrik1"/>
    <w:semiHidden/>
    <w:rsid w:val="004A0FAA"/>
    <w:rPr>
      <w:sz w:val="36"/>
    </w:rPr>
  </w:style>
  <w:style w:type="paragraph" w:styleId="Innehll1">
    <w:name w:val="toc 1"/>
    <w:basedOn w:val="NormalKompakt"/>
    <w:next w:val="Normal"/>
    <w:autoRedefine/>
    <w:semiHidden/>
    <w:rsid w:val="00E4463E"/>
    <w:pPr>
      <w:tabs>
        <w:tab w:val="clear" w:pos="284"/>
      </w:tabs>
    </w:pPr>
  </w:style>
  <w:style w:type="paragraph" w:styleId="Innehll2">
    <w:name w:val="toc 2"/>
    <w:basedOn w:val="NormalKompakt"/>
    <w:next w:val="Normal"/>
    <w:autoRedefine/>
    <w:semiHidden/>
    <w:rsid w:val="00E4463E"/>
    <w:pPr>
      <w:tabs>
        <w:tab w:val="clear" w:pos="284"/>
      </w:tabs>
      <w:ind w:left="220"/>
    </w:pPr>
  </w:style>
  <w:style w:type="character" w:styleId="Hyperlnk">
    <w:name w:val="Hyperlink"/>
    <w:basedOn w:val="Standardstycketeckensnitt"/>
    <w:semiHidden/>
    <w:rsid w:val="00E4463E"/>
    <w:rPr>
      <w:color w:val="0000FF"/>
      <w:u w:val="single"/>
    </w:rPr>
  </w:style>
  <w:style w:type="paragraph" w:customStyle="1" w:styleId="FormatmallPMrubrik14pt">
    <w:name w:val="Formatmall PMrubrik + 14 pt"/>
    <w:basedOn w:val="PMrubrik"/>
    <w:unhideWhenUsed/>
    <w:rsid w:val="00BC3D77"/>
    <w:pPr>
      <w:spacing w:after="120"/>
    </w:pPr>
    <w:rPr>
      <w:bCs/>
      <w:sz w:val="28"/>
    </w:rPr>
  </w:style>
  <w:style w:type="paragraph" w:customStyle="1" w:styleId="Punktlistautanluft">
    <w:name w:val="Punktlista utan luft"/>
    <w:basedOn w:val="Normal"/>
    <w:uiPriority w:val="49"/>
    <w:rsid w:val="00E9368D"/>
    <w:pPr>
      <w:numPr>
        <w:numId w:val="15"/>
      </w:numPr>
      <w:spacing w:after="0"/>
      <w:ind w:left="266" w:hanging="266"/>
    </w:pPr>
  </w:style>
  <w:style w:type="paragraph" w:styleId="Punktlista">
    <w:name w:val="List Bullet"/>
    <w:basedOn w:val="Normal"/>
    <w:semiHidden/>
    <w:rsid w:val="00D97E4C"/>
    <w:pPr>
      <w:numPr>
        <w:numId w:val="16"/>
      </w:numPr>
      <w:spacing w:after="0"/>
    </w:pPr>
  </w:style>
  <w:style w:type="paragraph" w:styleId="Punktlista2">
    <w:name w:val="List Bullet 2"/>
    <w:basedOn w:val="Punktlistautanluft"/>
    <w:semiHidden/>
    <w:rsid w:val="00E9368D"/>
    <w:pPr>
      <w:numPr>
        <w:ilvl w:val="1"/>
      </w:numPr>
    </w:pPr>
  </w:style>
  <w:style w:type="paragraph" w:styleId="Punktlista3">
    <w:name w:val="List Bullet 3"/>
    <w:basedOn w:val="Punktlista2"/>
    <w:semiHidden/>
    <w:rsid w:val="00E9368D"/>
    <w:pPr>
      <w:numPr>
        <w:ilvl w:val="2"/>
      </w:numPr>
    </w:pPr>
  </w:style>
  <w:style w:type="paragraph" w:styleId="Punktlista4">
    <w:name w:val="List Bullet 4"/>
    <w:basedOn w:val="Punktlista3"/>
    <w:semiHidden/>
    <w:rsid w:val="00E9368D"/>
    <w:pPr>
      <w:numPr>
        <w:ilvl w:val="3"/>
      </w:numPr>
    </w:pPr>
  </w:style>
  <w:style w:type="paragraph" w:styleId="Fotnotstext">
    <w:name w:val="footnote text"/>
    <w:basedOn w:val="Normal"/>
    <w:semiHidden/>
    <w:rsid w:val="002451C3"/>
    <w:pPr>
      <w:spacing w:after="40" w:line="200" w:lineRule="atLeast"/>
      <w:ind w:left="113" w:hanging="113"/>
    </w:pPr>
    <w:rPr>
      <w:sz w:val="18"/>
      <w:szCs w:val="20"/>
    </w:rPr>
  </w:style>
  <w:style w:type="character" w:styleId="Fotnotsreferens">
    <w:name w:val="footnote reference"/>
    <w:basedOn w:val="Standardstycketeckensnitt"/>
    <w:semiHidden/>
    <w:rsid w:val="00C45B5C"/>
    <w:rPr>
      <w:vertAlign w:val="superscript"/>
    </w:rPr>
  </w:style>
  <w:style w:type="paragraph" w:customStyle="1" w:styleId="SidfotEnhet">
    <w:name w:val="SidfotEnhet"/>
    <w:basedOn w:val="SidfotNamn"/>
    <w:next w:val="SidfotBrdtext"/>
    <w:semiHidden/>
    <w:rsid w:val="004633A8"/>
    <w:rPr>
      <w:sz w:val="20"/>
    </w:rPr>
  </w:style>
  <w:style w:type="paragraph" w:styleId="Innehll3">
    <w:name w:val="toc 3"/>
    <w:basedOn w:val="NormalKompakt"/>
    <w:next w:val="Normal"/>
    <w:autoRedefine/>
    <w:semiHidden/>
    <w:rsid w:val="005E5FD3"/>
    <w:pPr>
      <w:tabs>
        <w:tab w:val="clear" w:pos="284"/>
      </w:tabs>
      <w:ind w:left="440"/>
    </w:pPr>
  </w:style>
  <w:style w:type="paragraph" w:styleId="Innehll4">
    <w:name w:val="toc 4"/>
    <w:basedOn w:val="NormalKompakt"/>
    <w:next w:val="Normal"/>
    <w:autoRedefine/>
    <w:semiHidden/>
    <w:rsid w:val="005E5FD3"/>
    <w:pPr>
      <w:tabs>
        <w:tab w:val="clear" w:pos="284"/>
      </w:tabs>
      <w:ind w:left="660"/>
    </w:pPr>
  </w:style>
  <w:style w:type="paragraph" w:styleId="Innehll5">
    <w:name w:val="toc 5"/>
    <w:basedOn w:val="NormalKompakt"/>
    <w:next w:val="Normal"/>
    <w:autoRedefine/>
    <w:semiHidden/>
    <w:rsid w:val="005E5FD3"/>
    <w:pPr>
      <w:tabs>
        <w:tab w:val="clear" w:pos="284"/>
      </w:tabs>
      <w:ind w:left="880"/>
    </w:pPr>
  </w:style>
  <w:style w:type="paragraph" w:styleId="Adress-brev">
    <w:name w:val="envelope address"/>
    <w:basedOn w:val="Normal"/>
    <w:semiHidden/>
    <w:rsid w:val="007A447C"/>
    <w:pPr>
      <w:framePr w:w="7920" w:h="1980" w:hRule="exact" w:hSpace="180" w:wrap="auto" w:hAnchor="page" w:xAlign="center" w:yAlign="bottom"/>
      <w:spacing w:after="0" w:line="240" w:lineRule="auto"/>
      <w:ind w:left="2880"/>
    </w:pPr>
    <w:rPr>
      <w:rFonts w:ascii="GillSans Pro for Riksdagen Lt" w:eastAsiaTheme="majorEastAsia" w:hAnsi="GillSans Pro for Riksdagen Lt" w:cstheme="majorBidi"/>
      <w:szCs w:val="24"/>
    </w:rPr>
  </w:style>
  <w:style w:type="paragraph" w:styleId="Avsndaradress-brev">
    <w:name w:val="envelope return"/>
    <w:basedOn w:val="Normal"/>
    <w:semiHidden/>
    <w:rsid w:val="007A447C"/>
    <w:pPr>
      <w:spacing w:after="0" w:line="240" w:lineRule="auto"/>
    </w:pPr>
    <w:rPr>
      <w:rFonts w:ascii="GillSans Pro for Riksdagen Lt" w:eastAsiaTheme="majorEastAsia" w:hAnsi="GillSans Pro for Riksdagen Lt" w:cstheme="majorBidi"/>
      <w:szCs w:val="20"/>
    </w:rPr>
  </w:style>
  <w:style w:type="paragraph" w:styleId="Ballongtext">
    <w:name w:val="Balloon Text"/>
    <w:basedOn w:val="Normal"/>
    <w:link w:val="BallongtextChar"/>
    <w:semiHidden/>
    <w:rsid w:val="007A447C"/>
    <w:pPr>
      <w:spacing w:after="0" w:line="240" w:lineRule="auto"/>
    </w:pPr>
    <w:rPr>
      <w:rFonts w:cs="Segoe UI"/>
      <w:sz w:val="18"/>
      <w:szCs w:val="18"/>
    </w:rPr>
  </w:style>
  <w:style w:type="character" w:customStyle="1" w:styleId="BallongtextChar">
    <w:name w:val="Ballongtext Char"/>
    <w:basedOn w:val="Standardstycketeckensnitt"/>
    <w:link w:val="Ballongtext"/>
    <w:semiHidden/>
    <w:rsid w:val="00C40FE3"/>
    <w:rPr>
      <w:rFonts w:cs="Segoe UI"/>
      <w:sz w:val="18"/>
      <w:szCs w:val="18"/>
    </w:rPr>
  </w:style>
  <w:style w:type="paragraph" w:styleId="Beskrivning">
    <w:name w:val="caption"/>
    <w:basedOn w:val="Normal"/>
    <w:next w:val="Normal"/>
    <w:qFormat/>
    <w:rsid w:val="00552D66"/>
    <w:pPr>
      <w:spacing w:before="120" w:after="60" w:line="240" w:lineRule="auto"/>
      <w:contextualSpacing/>
    </w:pPr>
    <w:rPr>
      <w:b/>
      <w:i/>
      <w:iCs/>
      <w:szCs w:val="18"/>
    </w:rPr>
  </w:style>
  <w:style w:type="paragraph" w:styleId="Citatfrteckningsrubrik">
    <w:name w:val="toa heading"/>
    <w:basedOn w:val="Rubrik3"/>
    <w:next w:val="Normal"/>
    <w:semiHidden/>
    <w:rsid w:val="007A447C"/>
    <w:rPr>
      <w:rFonts w:eastAsiaTheme="majorEastAsia" w:cstheme="majorBidi"/>
      <w:bCs w:val="0"/>
      <w:szCs w:val="24"/>
    </w:rPr>
  </w:style>
  <w:style w:type="paragraph" w:styleId="Dokumentversikt">
    <w:name w:val="Document Map"/>
    <w:basedOn w:val="Normal"/>
    <w:link w:val="DokumentversiktChar"/>
    <w:semiHidden/>
    <w:rsid w:val="007A447C"/>
    <w:pPr>
      <w:spacing w:after="0" w:line="240" w:lineRule="auto"/>
    </w:pPr>
    <w:rPr>
      <w:rFonts w:cs="Segoe UI"/>
      <w:sz w:val="16"/>
      <w:szCs w:val="16"/>
    </w:rPr>
  </w:style>
  <w:style w:type="character" w:customStyle="1" w:styleId="DokumentversiktChar">
    <w:name w:val="Dokumentöversikt Char"/>
    <w:basedOn w:val="Standardstycketeckensnitt"/>
    <w:link w:val="Dokumentversikt"/>
    <w:semiHidden/>
    <w:rsid w:val="00FE7814"/>
    <w:rPr>
      <w:rFonts w:cs="Segoe UI"/>
      <w:sz w:val="16"/>
      <w:szCs w:val="16"/>
    </w:rPr>
  </w:style>
  <w:style w:type="paragraph" w:styleId="Index1">
    <w:name w:val="index 1"/>
    <w:basedOn w:val="Normal"/>
    <w:next w:val="Normal"/>
    <w:autoRedefine/>
    <w:semiHidden/>
    <w:rsid w:val="007A447C"/>
    <w:pPr>
      <w:tabs>
        <w:tab w:val="clear" w:pos="284"/>
      </w:tabs>
      <w:spacing w:after="0" w:line="240" w:lineRule="auto"/>
      <w:ind w:left="220" w:hanging="220"/>
    </w:pPr>
  </w:style>
  <w:style w:type="paragraph" w:styleId="Indexrubrik">
    <w:name w:val="index heading"/>
    <w:basedOn w:val="Rubrik3"/>
    <w:next w:val="Index1"/>
    <w:semiHidden/>
    <w:rsid w:val="007A447C"/>
    <w:rPr>
      <w:rFonts w:eastAsiaTheme="majorEastAsia" w:cstheme="majorBidi"/>
      <w:bCs w:val="0"/>
    </w:rPr>
  </w:style>
  <w:style w:type="paragraph" w:styleId="Indragetstycke">
    <w:name w:val="Block Text"/>
    <w:basedOn w:val="Normal"/>
    <w:semiHidden/>
    <w:rsid w:val="007A447C"/>
    <w:pPr>
      <w:ind w:left="1152" w:right="1152"/>
    </w:pPr>
    <w:rPr>
      <w:rFonts w:eastAsiaTheme="minorEastAsia" w:cstheme="minorBidi"/>
      <w:i/>
      <w:iCs/>
    </w:rPr>
  </w:style>
  <w:style w:type="paragraph" w:styleId="Meddelanderubrik">
    <w:name w:val="Message Header"/>
    <w:basedOn w:val="Rubrik3"/>
    <w:link w:val="MeddelanderubrikChar"/>
    <w:semiHidden/>
    <w:rsid w:val="007A447C"/>
    <w:pPr>
      <w:spacing w:line="240" w:lineRule="auto"/>
      <w:ind w:left="1134" w:hanging="1134"/>
    </w:pPr>
    <w:rPr>
      <w:rFonts w:eastAsiaTheme="majorEastAsia" w:cstheme="majorBidi"/>
      <w:szCs w:val="24"/>
    </w:rPr>
  </w:style>
  <w:style w:type="character" w:customStyle="1" w:styleId="MeddelanderubrikChar">
    <w:name w:val="Meddelanderubrik Char"/>
    <w:basedOn w:val="Standardstycketeckensnitt"/>
    <w:link w:val="Meddelanderubrik"/>
    <w:semiHidden/>
    <w:rsid w:val="0069358C"/>
    <w:rPr>
      <w:rFonts w:ascii="GillSans Pro for Riksdagen Md" w:eastAsiaTheme="majorEastAsia" w:hAnsi="GillSans Pro for Riksdagen Md" w:cstheme="majorBidi"/>
      <w:b/>
      <w:bCs/>
      <w:kern w:val="28"/>
      <w:sz w:val="24"/>
      <w:szCs w:val="24"/>
    </w:rPr>
  </w:style>
  <w:style w:type="paragraph" w:styleId="Rubrik">
    <w:name w:val="Title"/>
    <w:basedOn w:val="Normal"/>
    <w:next w:val="Normal"/>
    <w:link w:val="RubrikChar"/>
    <w:semiHidden/>
    <w:qFormat/>
    <w:rsid w:val="007A447C"/>
    <w:pPr>
      <w:spacing w:after="0" w:line="240" w:lineRule="auto"/>
      <w:contextualSpacing/>
    </w:pPr>
    <w:rPr>
      <w:rFonts w:ascii="GillSans Pro for Riksdagen Md" w:eastAsiaTheme="majorEastAsia" w:hAnsi="GillSans Pro for Riksdagen Md" w:cstheme="majorBidi"/>
      <w:b/>
      <w:spacing w:val="-10"/>
      <w:kern w:val="28"/>
      <w:sz w:val="56"/>
      <w:szCs w:val="56"/>
    </w:rPr>
  </w:style>
  <w:style w:type="character" w:customStyle="1" w:styleId="RubrikChar">
    <w:name w:val="Rubrik Char"/>
    <w:basedOn w:val="Standardstycketeckensnitt"/>
    <w:link w:val="Rubrik"/>
    <w:semiHidden/>
    <w:rsid w:val="00021B02"/>
    <w:rPr>
      <w:rFonts w:ascii="GillSans Pro for Riksdagen Md" w:eastAsiaTheme="majorEastAsia" w:hAnsi="GillSans Pro for Riksdagen Md" w:cstheme="majorBidi"/>
      <w:b/>
      <w:spacing w:val="-10"/>
      <w:kern w:val="28"/>
      <w:sz w:val="56"/>
      <w:szCs w:val="56"/>
    </w:rPr>
  </w:style>
  <w:style w:type="character" w:customStyle="1" w:styleId="Rubrik7Char">
    <w:name w:val="Rubrik 7 Char"/>
    <w:basedOn w:val="Standardstycketeckensnitt"/>
    <w:link w:val="Rubrik7"/>
    <w:semiHidden/>
    <w:rsid w:val="00A86BEE"/>
    <w:rPr>
      <w:rFonts w:eastAsiaTheme="majorEastAsia" w:cstheme="majorBidi"/>
      <w:bCs/>
      <w:i/>
      <w:kern w:val="28"/>
      <w:sz w:val="22"/>
      <w:szCs w:val="22"/>
    </w:rPr>
  </w:style>
  <w:style w:type="character" w:customStyle="1" w:styleId="Rubrik8Char">
    <w:name w:val="Rubrik 8 Char"/>
    <w:basedOn w:val="Standardstycketeckensnitt"/>
    <w:link w:val="Rubrik8"/>
    <w:semiHidden/>
    <w:rsid w:val="00A86BEE"/>
    <w:rPr>
      <w:rFonts w:eastAsiaTheme="majorEastAsia" w:cstheme="majorBidi"/>
      <w:bCs/>
      <w:i/>
      <w:iCs/>
      <w:kern w:val="28"/>
      <w:sz w:val="22"/>
      <w:szCs w:val="21"/>
    </w:rPr>
  </w:style>
  <w:style w:type="character" w:customStyle="1" w:styleId="Rubrik9Char">
    <w:name w:val="Rubrik 9 Char"/>
    <w:basedOn w:val="Standardstycketeckensnitt"/>
    <w:link w:val="Rubrik9"/>
    <w:semiHidden/>
    <w:rsid w:val="00A86BEE"/>
    <w:rPr>
      <w:rFonts w:eastAsiaTheme="majorEastAsia" w:cstheme="majorBidi"/>
      <w:bCs/>
      <w:i/>
      <w:kern w:val="28"/>
      <w:sz w:val="22"/>
      <w:szCs w:val="21"/>
    </w:rPr>
  </w:style>
  <w:style w:type="paragraph" w:styleId="Underrubrik">
    <w:name w:val="Subtitle"/>
    <w:basedOn w:val="Rubrik3"/>
    <w:next w:val="Normal"/>
    <w:link w:val="UnderrubrikChar"/>
    <w:semiHidden/>
    <w:qFormat/>
    <w:rsid w:val="00A86BEE"/>
    <w:pPr>
      <w:numPr>
        <w:ilvl w:val="1"/>
      </w:numPr>
    </w:pPr>
    <w:rPr>
      <w:rFonts w:eastAsiaTheme="minorEastAsia" w:cstheme="minorBidi"/>
      <w:szCs w:val="22"/>
    </w:rPr>
  </w:style>
  <w:style w:type="character" w:customStyle="1" w:styleId="UnderrubrikChar">
    <w:name w:val="Underrubrik Char"/>
    <w:basedOn w:val="Standardstycketeckensnitt"/>
    <w:link w:val="Underrubrik"/>
    <w:semiHidden/>
    <w:rsid w:val="00021B02"/>
    <w:rPr>
      <w:rFonts w:ascii="GillSans Pro for Riksdagen Md" w:eastAsiaTheme="minorEastAsia" w:hAnsi="GillSans Pro for Riksdagen Md" w:cstheme="minorBidi"/>
      <w:b/>
      <w:bCs/>
      <w:kern w:val="28"/>
      <w:sz w:val="24"/>
    </w:rPr>
  </w:style>
  <w:style w:type="character" w:styleId="Diskretbetoning">
    <w:name w:val="Subtle Emphasis"/>
    <w:basedOn w:val="Standardstycketeckensnitt"/>
    <w:uiPriority w:val="19"/>
    <w:semiHidden/>
    <w:qFormat/>
    <w:rsid w:val="00A86BEE"/>
    <w:rPr>
      <w:i/>
      <w:iCs/>
      <w:color w:val="auto"/>
    </w:rPr>
  </w:style>
  <w:style w:type="character" w:styleId="Starkbetoning">
    <w:name w:val="Intense Emphasis"/>
    <w:basedOn w:val="Standardstycketeckensnitt"/>
    <w:uiPriority w:val="21"/>
    <w:semiHidden/>
    <w:qFormat/>
    <w:rsid w:val="00A86BEE"/>
    <w:rPr>
      <w:i/>
      <w:iCs/>
      <w:color w:val="auto"/>
    </w:rPr>
  </w:style>
  <w:style w:type="paragraph" w:styleId="Starktcitat">
    <w:name w:val="Intense Quote"/>
    <w:basedOn w:val="Normal"/>
    <w:next w:val="Normal"/>
    <w:link w:val="StarktcitatChar"/>
    <w:uiPriority w:val="30"/>
    <w:semiHidden/>
    <w:qFormat/>
    <w:rsid w:val="00A86BEE"/>
    <w:pP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69358C"/>
    <w:rPr>
      <w:i/>
      <w:iCs/>
    </w:rPr>
  </w:style>
  <w:style w:type="character" w:styleId="Diskretreferens">
    <w:name w:val="Subtle Reference"/>
    <w:basedOn w:val="Standardstycketeckensnitt"/>
    <w:uiPriority w:val="31"/>
    <w:semiHidden/>
    <w:qFormat/>
    <w:rsid w:val="00A86BEE"/>
    <w:rPr>
      <w:smallCaps/>
      <w:color w:val="auto"/>
    </w:rPr>
  </w:style>
  <w:style w:type="character" w:styleId="Starkreferens">
    <w:name w:val="Intense Reference"/>
    <w:basedOn w:val="Standardstycketeckensnitt"/>
    <w:uiPriority w:val="32"/>
    <w:semiHidden/>
    <w:qFormat/>
    <w:rsid w:val="00A86BEE"/>
    <w:rPr>
      <w:b/>
      <w:bCs/>
      <w:smallCaps/>
      <w:color w:val="auto"/>
      <w:spacing w:val="5"/>
    </w:rPr>
  </w:style>
  <w:style w:type="paragraph" w:styleId="Innehllsfrteckningsrubrik">
    <w:name w:val="TOC Heading"/>
    <w:basedOn w:val="Rubrik1"/>
    <w:next w:val="Normal"/>
    <w:uiPriority w:val="39"/>
    <w:semiHidden/>
    <w:unhideWhenUsed/>
    <w:qFormat/>
    <w:rsid w:val="00A86BEE"/>
    <w:pPr>
      <w:outlineLvl w:val="9"/>
    </w:pPr>
    <w:rPr>
      <w:rFonts w:eastAsiaTheme="majorEastAsia" w:cstheme="majorBidi"/>
      <w:kern w:val="0"/>
      <w:szCs w:val="32"/>
    </w:rPr>
  </w:style>
  <w:style w:type="paragraph" w:customStyle="1" w:styleId="Punktlistabomb">
    <w:name w:val="Punktlista bomb"/>
    <w:basedOn w:val="Normal"/>
    <w:uiPriority w:val="49"/>
    <w:qFormat/>
    <w:rsid w:val="00021B02"/>
    <w:pPr>
      <w:numPr>
        <w:numId w:val="21"/>
      </w:numPr>
      <w:spacing w:before="125" w:after="125" w:line="250" w:lineRule="atLeast"/>
      <w:ind w:left="284" w:hanging="284"/>
      <w:contextualSpacing/>
      <w:jc w:val="both"/>
    </w:pPr>
    <w:rPr>
      <w:szCs w:val="24"/>
    </w:rPr>
  </w:style>
  <w:style w:type="paragraph" w:customStyle="1" w:styleId="Punktlistagemener">
    <w:name w:val="Punktlista gemener"/>
    <w:basedOn w:val="Normal"/>
    <w:uiPriority w:val="49"/>
    <w:qFormat/>
    <w:rsid w:val="00021B02"/>
    <w:pPr>
      <w:numPr>
        <w:numId w:val="22"/>
      </w:numPr>
      <w:tabs>
        <w:tab w:val="left" w:pos="567"/>
        <w:tab w:val="left" w:pos="850"/>
        <w:tab w:val="left" w:pos="1701"/>
        <w:tab w:val="left" w:pos="2551"/>
        <w:tab w:val="left" w:pos="3402"/>
        <w:tab w:val="center" w:pos="4252"/>
        <w:tab w:val="left" w:pos="5102"/>
        <w:tab w:val="right" w:pos="5839"/>
        <w:tab w:val="right" w:pos="7370"/>
      </w:tabs>
      <w:spacing w:before="125" w:after="125" w:line="250" w:lineRule="atLeast"/>
      <w:ind w:left="284" w:hanging="284"/>
      <w:contextualSpacing/>
      <w:jc w:val="both"/>
    </w:pPr>
    <w:rPr>
      <w:szCs w:val="24"/>
    </w:rPr>
  </w:style>
  <w:style w:type="paragraph" w:customStyle="1" w:styleId="Punktlistalinje">
    <w:name w:val="Punktlista linje"/>
    <w:basedOn w:val="Normal"/>
    <w:uiPriority w:val="49"/>
    <w:qFormat/>
    <w:rsid w:val="00021B02"/>
    <w:pPr>
      <w:numPr>
        <w:numId w:val="23"/>
      </w:numPr>
      <w:spacing w:before="125" w:after="125" w:line="250" w:lineRule="atLeast"/>
      <w:ind w:left="284" w:hanging="284"/>
      <w:contextualSpacing/>
      <w:jc w:val="both"/>
    </w:pPr>
    <w:rPr>
      <w:szCs w:val="24"/>
    </w:rPr>
  </w:style>
  <w:style w:type="paragraph" w:customStyle="1" w:styleId="PVgnar">
    <w:name w:val="PåVägnar"/>
    <w:basedOn w:val="Normal"/>
    <w:next w:val="Normal"/>
    <w:link w:val="PVgnarChar"/>
    <w:semiHidden/>
    <w:rsid w:val="00955EDF"/>
    <w:pPr>
      <w:tabs>
        <w:tab w:val="clear" w:pos="284"/>
      </w:tabs>
      <w:spacing w:before="62" w:after="520" w:line="240" w:lineRule="auto"/>
    </w:pPr>
    <w:rPr>
      <w:rFonts w:eastAsiaTheme="minorHAnsi"/>
      <w:sz w:val="19"/>
      <w:szCs w:val="19"/>
      <w:lang w:eastAsia="en-US"/>
    </w:rPr>
  </w:style>
  <w:style w:type="character" w:customStyle="1" w:styleId="PVgnarChar">
    <w:name w:val="PåVägnar Char"/>
    <w:basedOn w:val="Standardstycketeckensnitt"/>
    <w:link w:val="PVgnar"/>
    <w:semiHidden/>
    <w:rsid w:val="00955EDF"/>
    <w:rPr>
      <w:rFonts w:eastAsiaTheme="minorHAnsi"/>
      <w:sz w:val="19"/>
      <w:szCs w:val="19"/>
      <w:lang w:eastAsia="en-US"/>
    </w:rPr>
  </w:style>
  <w:style w:type="paragraph" w:customStyle="1" w:styleId="Punktlistasiffra">
    <w:name w:val="Punktlista siffra"/>
    <w:basedOn w:val="Normal"/>
    <w:uiPriority w:val="49"/>
    <w:qFormat/>
    <w:rsid w:val="00021B02"/>
    <w:pPr>
      <w:numPr>
        <w:numId w:val="24"/>
      </w:numPr>
      <w:spacing w:before="125" w:after="125" w:line="250" w:lineRule="atLeast"/>
      <w:ind w:left="284" w:hanging="284"/>
      <w:contextualSpacing/>
      <w:jc w:val="both"/>
    </w:pPr>
    <w:rPr>
      <w:szCs w:val="24"/>
    </w:rPr>
  </w:style>
  <w:style w:type="paragraph" w:styleId="Normaltindrag">
    <w:name w:val="Normal Indent"/>
    <w:basedOn w:val="Normal"/>
    <w:rsid w:val="004D759A"/>
    <w:pPr>
      <w:spacing w:after="0"/>
      <w:ind w:firstLine="227"/>
      <w:contextualSpacing/>
    </w:pPr>
  </w:style>
  <w:style w:type="paragraph" w:customStyle="1" w:styleId="Tabell-Kolumnrubrik">
    <w:name w:val="Tabell - Kolumnrubrik"/>
    <w:basedOn w:val="Normal"/>
    <w:uiPriority w:val="29"/>
    <w:unhideWhenUsed/>
    <w:qFormat/>
    <w:rsid w:val="001435F8"/>
    <w:pPr>
      <w:tabs>
        <w:tab w:val="clear" w:pos="284"/>
        <w:tab w:val="left" w:pos="567"/>
        <w:tab w:val="left" w:pos="850"/>
        <w:tab w:val="left" w:pos="1701"/>
        <w:tab w:val="left" w:pos="2551"/>
        <w:tab w:val="left" w:pos="3402"/>
        <w:tab w:val="center" w:pos="4252"/>
        <w:tab w:val="left" w:pos="5102"/>
        <w:tab w:val="right" w:pos="5839"/>
        <w:tab w:val="right" w:pos="7370"/>
      </w:tabs>
      <w:spacing w:after="0" w:line="240" w:lineRule="exact"/>
    </w:pPr>
    <w:rPr>
      <w:b/>
      <w:sz w:val="20"/>
      <w:szCs w:val="24"/>
      <w:lang w:eastAsia="en-US"/>
    </w:rPr>
  </w:style>
  <w:style w:type="paragraph" w:customStyle="1" w:styleId="Tabell-Klla">
    <w:name w:val="Tabell - Källa"/>
    <w:basedOn w:val="Normal"/>
    <w:next w:val="Normal"/>
    <w:unhideWhenUsed/>
    <w:qFormat/>
    <w:rsid w:val="00A635B7"/>
    <w:pPr>
      <w:tabs>
        <w:tab w:val="clear" w:pos="284"/>
      </w:tabs>
      <w:spacing w:before="120" w:after="0" w:line="160" w:lineRule="exact"/>
      <w:contextualSpacing/>
    </w:pPr>
    <w:rPr>
      <w:i/>
      <w:szCs w:val="24"/>
    </w:rPr>
  </w:style>
  <w:style w:type="paragraph" w:customStyle="1" w:styleId="Tabell-Radrubrik">
    <w:name w:val="Tabell - Radrubrik"/>
    <w:basedOn w:val="Normal"/>
    <w:unhideWhenUsed/>
    <w:qFormat/>
    <w:rsid w:val="001435F8"/>
    <w:pPr>
      <w:tabs>
        <w:tab w:val="clear" w:pos="284"/>
      </w:tabs>
      <w:spacing w:after="0" w:line="240" w:lineRule="exact"/>
    </w:pPr>
    <w:rPr>
      <w:sz w:val="20"/>
      <w:szCs w:val="24"/>
      <w:lang w:eastAsia="en-US"/>
    </w:rPr>
  </w:style>
  <w:style w:type="paragraph" w:customStyle="1" w:styleId="Tabell-Rubrik">
    <w:name w:val="Tabell - Rubrik"/>
    <w:basedOn w:val="Normal"/>
    <w:next w:val="Normal"/>
    <w:uiPriority w:val="29"/>
    <w:qFormat/>
    <w:rsid w:val="001435F8"/>
    <w:pPr>
      <w:keepNext/>
      <w:keepLines/>
      <w:tabs>
        <w:tab w:val="clear" w:pos="284"/>
      </w:tabs>
      <w:spacing w:before="240" w:after="60" w:line="200" w:lineRule="atLeast"/>
    </w:pPr>
    <w:rPr>
      <w:rFonts w:eastAsiaTheme="majorEastAsia" w:cstheme="majorBidi"/>
      <w:b/>
      <w:sz w:val="20"/>
      <w:szCs w:val="19"/>
      <w:lang w:eastAsia="en-US"/>
    </w:rPr>
  </w:style>
  <w:style w:type="paragraph" w:customStyle="1" w:styleId="Tabell-Siffror">
    <w:name w:val="Tabell - Siffror"/>
    <w:basedOn w:val="Normal"/>
    <w:uiPriority w:val="29"/>
    <w:unhideWhenUsed/>
    <w:rsid w:val="001435F8"/>
    <w:pPr>
      <w:tabs>
        <w:tab w:val="clear" w:pos="284"/>
      </w:tabs>
      <w:spacing w:after="0" w:line="240" w:lineRule="exact"/>
      <w:jc w:val="right"/>
    </w:pPr>
    <w:rPr>
      <w:sz w:val="20"/>
      <w:szCs w:val="24"/>
    </w:rPr>
  </w:style>
  <w:style w:type="paragraph" w:customStyle="1" w:styleId="Tabell-Text">
    <w:name w:val="Tabell - Text"/>
    <w:uiPriority w:val="29"/>
    <w:unhideWhenUsed/>
    <w:rsid w:val="001435F8"/>
    <w:pPr>
      <w:spacing w:line="240" w:lineRule="exact"/>
    </w:pPr>
    <w:rPr>
      <w:sz w:val="20"/>
      <w:szCs w:val="24"/>
    </w:rPr>
  </w:style>
  <w:style w:type="paragraph" w:customStyle="1" w:styleId="Tabell-Underrubrik">
    <w:name w:val="Tabell - Underrubrik"/>
    <w:basedOn w:val="Tabell-Rubrik"/>
    <w:next w:val="Tabell-Text"/>
    <w:uiPriority w:val="29"/>
    <w:unhideWhenUsed/>
    <w:qFormat/>
    <w:rsid w:val="001435F8"/>
    <w:pPr>
      <w:spacing w:before="0" w:after="20" w:line="160" w:lineRule="atLeast"/>
    </w:pPr>
    <w:rPr>
      <w:b w:val="0"/>
      <w:i/>
    </w:rPr>
  </w:style>
  <w:style w:type="paragraph" w:customStyle="1" w:styleId="Dnr">
    <w:name w:val="Dnr"/>
    <w:basedOn w:val="Normal"/>
    <w:qFormat/>
    <w:rsid w:val="00021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_rels/header2.xml.rels><?xml version="1.0" encoding="UTF-8" standalone="yes"?>
<Relationships xmlns="http://schemas.openxmlformats.org/package/2006/relationships"><Relationship Id="rId1"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104aa\AppData\Roaming\Microsoft\Mallar\Rut-rappor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E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C2A02-1116-4600-B982-15D1B69D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Rut-rapport</Template>
  <TotalTime>553</TotalTime>
  <Pages>7</Pages>
  <Words>1292</Words>
  <Characters>7549</Characters>
  <Application>Microsoft Office Word</Application>
  <DocSecurity>0</DocSecurity>
  <Lines>167</Lines>
  <Paragraphs>58</Paragraphs>
  <ScaleCrop>false</ScaleCrop>
  <HeadingPairs>
    <vt:vector size="2" baseType="variant">
      <vt:variant>
        <vt:lpstr>Rubrik</vt:lpstr>
      </vt:variant>
      <vt:variant>
        <vt:i4>1</vt:i4>
      </vt:variant>
    </vt:vector>
  </HeadingPairs>
  <TitlesOfParts>
    <vt:vector size="1" baseType="lpstr">
      <vt:lpstr>PM</vt:lpstr>
    </vt:vector>
  </TitlesOfParts>
  <Company>Riksdagen</Company>
  <LinksUpToDate>false</LinksUpToDate>
  <CharactersWithSpaces>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subject/>
  <dc:creator>Anna Enström Järleborg</dc:creator>
  <cp:keywords/>
  <dc:description>RUT-anpassning av PM.dot 5.13</dc:description>
  <cp:lastModifiedBy>Anna Enström Järleborg</cp:lastModifiedBy>
  <cp:revision>119</cp:revision>
  <dcterms:created xsi:type="dcterms:W3CDTF">2014-06-24T05:07:00Z</dcterms:created>
  <dcterms:modified xsi:type="dcterms:W3CDTF">2014-06-26T10:09:00Z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1.01</vt:lpwstr>
  </property>
</Properties>
</file>